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F7623">
      <w:pPr>
        <w:jc w:val="center"/>
        <w:rPr>
          <w:rFonts w:ascii="Times New Roman" w:eastAsia="方正小标宋_GBK" w:hAnsi="Times New Roman" w:hint="eastAsia"/>
          <w:bCs/>
          <w:kern w:val="0"/>
          <w:sz w:val="44"/>
          <w:szCs w:val="44"/>
        </w:rPr>
      </w:pPr>
      <w:r>
        <w:rPr>
          <w:rFonts w:ascii="Times New Roman" w:eastAsia="方正小标宋_GBK" w:hAnsi="Times New Roman"/>
          <w:bCs/>
          <w:kern w:val="0"/>
          <w:sz w:val="44"/>
          <w:szCs w:val="44"/>
        </w:rPr>
        <w:t>20</w:t>
      </w:r>
      <w:r>
        <w:rPr>
          <w:rFonts w:ascii="Times New Roman" w:eastAsia="方正小标宋_GBK" w:hAnsi="Times New Roman" w:hint="eastAsia"/>
          <w:bCs/>
          <w:kern w:val="0"/>
          <w:sz w:val="44"/>
          <w:szCs w:val="44"/>
        </w:rPr>
        <w:t>22</w:t>
      </w:r>
      <w:r>
        <w:rPr>
          <w:rFonts w:ascii="Times New Roman" w:eastAsia="方正小标宋_GBK" w:hAnsi="Times New Roman"/>
          <w:bCs/>
          <w:kern w:val="0"/>
          <w:sz w:val="44"/>
          <w:szCs w:val="44"/>
        </w:rPr>
        <w:t>年</w:t>
      </w:r>
      <w:r>
        <w:rPr>
          <w:rFonts w:ascii="Times New Roman" w:eastAsia="方正小标宋_GBK" w:hAnsi="Times New Roman" w:hint="eastAsia"/>
          <w:bCs/>
          <w:kern w:val="0"/>
          <w:sz w:val="44"/>
          <w:szCs w:val="44"/>
        </w:rPr>
        <w:t>太仓市</w:t>
      </w:r>
      <w:r w:rsidR="00C03B07">
        <w:rPr>
          <w:rFonts w:ascii="Times New Roman" w:eastAsia="方正小标宋_GBK" w:hAnsi="Times New Roman" w:hint="eastAsia"/>
          <w:bCs/>
          <w:kern w:val="0"/>
          <w:sz w:val="44"/>
          <w:szCs w:val="44"/>
        </w:rPr>
        <w:t>政法委</w:t>
      </w:r>
    </w:p>
    <w:p w:rsidR="00000000" w:rsidRDefault="004F7623">
      <w:pPr>
        <w:jc w:val="center"/>
        <w:rPr>
          <w:rFonts w:ascii="Times New Roman" w:eastAsia="方正小标宋_GBK" w:hAnsi="Times New Roman" w:hint="eastAsia"/>
          <w:bCs/>
          <w:kern w:val="0"/>
          <w:sz w:val="44"/>
          <w:szCs w:val="44"/>
        </w:rPr>
      </w:pPr>
      <w:r>
        <w:rPr>
          <w:rFonts w:ascii="Times New Roman" w:eastAsia="方正小标宋_GBK" w:hAnsi="Times New Roman"/>
          <w:bCs/>
          <w:kern w:val="0"/>
          <w:sz w:val="44"/>
          <w:szCs w:val="44"/>
        </w:rPr>
        <w:t>预决算信息公开</w:t>
      </w:r>
      <w:r>
        <w:rPr>
          <w:rFonts w:ascii="Times New Roman" w:eastAsia="方正小标宋_GBK" w:hAnsi="Times New Roman" w:hint="eastAsia"/>
          <w:bCs/>
          <w:kern w:val="0"/>
          <w:sz w:val="44"/>
          <w:szCs w:val="44"/>
        </w:rPr>
        <w:t>工作方案</w:t>
      </w:r>
    </w:p>
    <w:p w:rsidR="00000000" w:rsidRDefault="004F7623">
      <w:pPr>
        <w:widowControl/>
        <w:spacing w:line="560" w:lineRule="exact"/>
        <w:jc w:val="center"/>
        <w:rPr>
          <w:rFonts w:ascii="Times New Roman" w:eastAsia="方正仿宋_GBK" w:hAnsi="Times New Roman"/>
          <w:spacing w:val="-10"/>
          <w:kern w:val="0"/>
          <w:sz w:val="32"/>
          <w:szCs w:val="32"/>
        </w:rPr>
      </w:pPr>
    </w:p>
    <w:p w:rsidR="00000000" w:rsidRDefault="004F7623">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预决算信息公开是预决算管理制度改革的核心内容。建立全面规范透明、标准科学、约束有力的预算制度是现代财政制度的基本要求。为进一步推进我市预决算公开工作，提高预算透明度，强化社会监督，促进依法理财，根据</w:t>
      </w:r>
      <w:r>
        <w:rPr>
          <w:rFonts w:ascii="仿宋" w:eastAsia="仿宋" w:hAnsi="仿宋" w:hint="eastAsia"/>
          <w:sz w:val="32"/>
          <w:szCs w:val="32"/>
        </w:rPr>
        <w:t>《</w:t>
      </w:r>
      <w:r>
        <w:rPr>
          <w:rFonts w:ascii="仿宋" w:eastAsia="仿宋" w:hAnsi="仿宋" w:hint="eastAsia"/>
          <w:sz w:val="32"/>
          <w:szCs w:val="32"/>
        </w:rPr>
        <w:t>中华人民共和国</w:t>
      </w:r>
      <w:r>
        <w:rPr>
          <w:rFonts w:ascii="仿宋" w:eastAsia="仿宋" w:hAnsi="仿宋"/>
          <w:sz w:val="32"/>
          <w:szCs w:val="32"/>
        </w:rPr>
        <w:t>预算法</w:t>
      </w:r>
      <w:r>
        <w:rPr>
          <w:rFonts w:ascii="仿宋" w:eastAsia="仿宋" w:hAnsi="仿宋" w:hint="eastAsia"/>
          <w:sz w:val="32"/>
          <w:szCs w:val="32"/>
        </w:rPr>
        <w:t>》、《</w:t>
      </w:r>
      <w:r>
        <w:rPr>
          <w:rFonts w:ascii="仿宋" w:eastAsia="仿宋" w:hAnsi="仿宋" w:hint="eastAsia"/>
          <w:sz w:val="32"/>
          <w:szCs w:val="32"/>
        </w:rPr>
        <w:t>中华人民共和国预算法实施条例》、《财政部办公厅关于印发财政预决算领域基层政务公开标准指引的通知》（财办发</w:t>
      </w:r>
      <w:r>
        <w:rPr>
          <w:rFonts w:ascii="仿宋" w:eastAsia="仿宋" w:hAnsi="仿宋" w:hint="eastAsia"/>
          <w:sz w:val="32"/>
          <w:szCs w:val="32"/>
        </w:rPr>
        <w:t>[2020]77</w:t>
      </w:r>
      <w:r>
        <w:rPr>
          <w:rFonts w:ascii="仿宋" w:eastAsia="仿宋" w:hAnsi="仿宋" w:hint="eastAsia"/>
          <w:sz w:val="32"/>
          <w:szCs w:val="32"/>
        </w:rPr>
        <w:t>号）、</w:t>
      </w:r>
      <w:r>
        <w:rPr>
          <w:rFonts w:ascii="仿宋" w:eastAsia="仿宋" w:hAnsi="仿宋"/>
          <w:sz w:val="32"/>
          <w:szCs w:val="32"/>
        </w:rPr>
        <w:t>《江苏省</w:t>
      </w:r>
      <w:r>
        <w:rPr>
          <w:rFonts w:ascii="仿宋" w:eastAsia="仿宋" w:hAnsi="仿宋" w:hint="eastAsia"/>
          <w:sz w:val="32"/>
          <w:szCs w:val="32"/>
        </w:rPr>
        <w:t>财政厅关于做好</w:t>
      </w:r>
      <w:r>
        <w:rPr>
          <w:rFonts w:ascii="仿宋" w:eastAsia="仿宋" w:hAnsi="仿宋" w:hint="eastAsia"/>
          <w:sz w:val="32"/>
          <w:szCs w:val="32"/>
        </w:rPr>
        <w:t>2022</w:t>
      </w:r>
      <w:r>
        <w:rPr>
          <w:rFonts w:ascii="仿宋" w:eastAsia="仿宋" w:hAnsi="仿宋" w:hint="eastAsia"/>
          <w:sz w:val="32"/>
          <w:szCs w:val="32"/>
        </w:rPr>
        <w:t>年省以下预决算公开工作的通知》（苏财预</w:t>
      </w:r>
      <w:r>
        <w:rPr>
          <w:rFonts w:ascii="仿宋" w:eastAsia="仿宋" w:hAnsi="仿宋" w:hint="eastAsia"/>
          <w:sz w:val="32"/>
          <w:szCs w:val="32"/>
        </w:rPr>
        <w:t>[2021]121</w:t>
      </w:r>
      <w:r>
        <w:rPr>
          <w:rFonts w:ascii="仿宋" w:eastAsia="仿宋" w:hAnsi="仿宋" w:hint="eastAsia"/>
          <w:sz w:val="32"/>
          <w:szCs w:val="32"/>
        </w:rPr>
        <w:t>号）和</w:t>
      </w:r>
      <w:r>
        <w:rPr>
          <w:rFonts w:ascii="仿宋" w:eastAsia="仿宋" w:hAnsi="仿宋"/>
          <w:sz w:val="32"/>
          <w:szCs w:val="32"/>
        </w:rPr>
        <w:t>《</w:t>
      </w:r>
      <w:r>
        <w:rPr>
          <w:rFonts w:ascii="仿宋" w:eastAsia="仿宋" w:hAnsi="仿宋"/>
          <w:sz w:val="32"/>
          <w:szCs w:val="32"/>
        </w:rPr>
        <w:t>20</w:t>
      </w:r>
      <w:r>
        <w:rPr>
          <w:rFonts w:ascii="仿宋" w:eastAsia="仿宋" w:hAnsi="仿宋" w:hint="eastAsia"/>
          <w:sz w:val="32"/>
          <w:szCs w:val="32"/>
        </w:rPr>
        <w:t>22</w:t>
      </w:r>
      <w:r>
        <w:rPr>
          <w:rFonts w:ascii="仿宋" w:eastAsia="仿宋" w:hAnsi="仿宋"/>
          <w:sz w:val="32"/>
          <w:szCs w:val="32"/>
        </w:rPr>
        <w:t>年太仓市预决算信息公开工作方案》太财预</w:t>
      </w:r>
      <w:r>
        <w:rPr>
          <w:rFonts w:ascii="仿宋" w:eastAsia="仿宋" w:hAnsi="仿宋" w:hint="eastAsia"/>
          <w:sz w:val="32"/>
          <w:szCs w:val="32"/>
        </w:rPr>
        <w:t>[</w:t>
      </w: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sz w:val="32"/>
          <w:szCs w:val="32"/>
        </w:rPr>
        <w:t>号文件，</w:t>
      </w:r>
      <w:r>
        <w:rPr>
          <w:rFonts w:ascii="仿宋" w:eastAsia="仿宋" w:hAnsi="仿宋" w:hint="eastAsia"/>
          <w:sz w:val="32"/>
          <w:szCs w:val="32"/>
        </w:rPr>
        <w:t>特制定本管理办法</w:t>
      </w:r>
      <w:r>
        <w:rPr>
          <w:rFonts w:ascii="仿宋" w:eastAsia="仿宋" w:hAnsi="仿宋"/>
          <w:sz w:val="32"/>
          <w:szCs w:val="32"/>
        </w:rPr>
        <w:t>。</w:t>
      </w:r>
    </w:p>
    <w:p w:rsidR="00000000" w:rsidRDefault="004F7623">
      <w:pPr>
        <w:spacing w:line="560" w:lineRule="exact"/>
        <w:ind w:firstLineChars="200" w:firstLine="643"/>
        <w:rPr>
          <w:rFonts w:ascii="宋体" w:hAnsi="宋体" w:hint="eastAsia"/>
          <w:b/>
          <w:kern w:val="0"/>
          <w:sz w:val="32"/>
          <w:szCs w:val="32"/>
        </w:rPr>
      </w:pPr>
      <w:r>
        <w:rPr>
          <w:rFonts w:ascii="宋体" w:hAnsi="宋体" w:hint="eastAsia"/>
          <w:b/>
          <w:kern w:val="0"/>
          <w:sz w:val="32"/>
          <w:szCs w:val="32"/>
        </w:rPr>
        <w:t>一、工作原则</w:t>
      </w:r>
    </w:p>
    <w:p w:rsidR="00000000" w:rsidRDefault="004F7623">
      <w:pPr>
        <w:spacing w:line="560" w:lineRule="exact"/>
        <w:ind w:firstLineChars="200" w:firstLine="643"/>
        <w:rPr>
          <w:rFonts w:ascii="仿宋" w:eastAsia="仿宋" w:hAnsi="仿宋"/>
          <w:kern w:val="0"/>
          <w:sz w:val="32"/>
          <w:szCs w:val="32"/>
        </w:rPr>
      </w:pPr>
      <w:r>
        <w:rPr>
          <w:rFonts w:ascii="仿宋" w:eastAsia="仿宋" w:hAnsi="仿宋" w:hint="eastAsia"/>
          <w:b/>
          <w:kern w:val="0"/>
          <w:sz w:val="32"/>
          <w:szCs w:val="32"/>
        </w:rPr>
        <w:t>（一）坚持以公开为常态、不公开为例外。</w:t>
      </w:r>
      <w:r>
        <w:rPr>
          <w:rFonts w:ascii="仿宋" w:eastAsia="仿宋" w:hAnsi="仿宋"/>
          <w:kern w:val="0"/>
          <w:sz w:val="32"/>
          <w:szCs w:val="32"/>
        </w:rPr>
        <w:t>除涉及国家秘密的信息外，</w:t>
      </w:r>
      <w:r>
        <w:rPr>
          <w:rFonts w:ascii="仿宋" w:eastAsia="仿宋" w:hAnsi="仿宋" w:hint="eastAsia"/>
          <w:kern w:val="0"/>
          <w:sz w:val="32"/>
          <w:szCs w:val="32"/>
        </w:rPr>
        <w:t>市级使用财政资金的本部门和下属单位公开本部门和下属单位预决算</w:t>
      </w:r>
      <w:r>
        <w:rPr>
          <w:rFonts w:ascii="仿宋" w:eastAsia="仿宋" w:hAnsi="仿宋"/>
          <w:kern w:val="0"/>
          <w:sz w:val="32"/>
          <w:szCs w:val="32"/>
        </w:rPr>
        <w:t>。</w:t>
      </w:r>
    </w:p>
    <w:p w:rsidR="00000000" w:rsidRDefault="004F7623">
      <w:pPr>
        <w:spacing w:line="560" w:lineRule="exact"/>
        <w:ind w:firstLineChars="200" w:firstLine="643"/>
        <w:rPr>
          <w:rFonts w:ascii="仿宋" w:eastAsia="仿宋" w:hAnsi="仿宋" w:hint="eastAsia"/>
          <w:kern w:val="0"/>
          <w:sz w:val="32"/>
          <w:szCs w:val="32"/>
        </w:rPr>
      </w:pPr>
      <w:r>
        <w:rPr>
          <w:rFonts w:ascii="仿宋" w:eastAsia="仿宋" w:hAnsi="仿宋"/>
          <w:b/>
          <w:kern w:val="0"/>
          <w:sz w:val="32"/>
          <w:szCs w:val="32"/>
        </w:rPr>
        <w:t>（二）坚持明确和落实责任</w:t>
      </w:r>
      <w:r>
        <w:rPr>
          <w:rFonts w:ascii="仿宋" w:eastAsia="仿宋" w:hAnsi="仿宋" w:hint="eastAsia"/>
          <w:b/>
          <w:kern w:val="0"/>
          <w:sz w:val="32"/>
          <w:szCs w:val="32"/>
        </w:rPr>
        <w:t>。</w:t>
      </w:r>
      <w:r>
        <w:rPr>
          <w:rFonts w:ascii="仿宋" w:eastAsia="仿宋" w:hAnsi="仿宋" w:hint="eastAsia"/>
          <w:kern w:val="0"/>
          <w:sz w:val="32"/>
          <w:szCs w:val="32"/>
        </w:rPr>
        <w:t>明确太仓市</w:t>
      </w:r>
      <w:r w:rsidR="00C03B07">
        <w:rPr>
          <w:rFonts w:ascii="仿宋" w:eastAsia="仿宋" w:hAnsi="仿宋" w:hint="eastAsia"/>
          <w:kern w:val="0"/>
          <w:sz w:val="32"/>
          <w:szCs w:val="32"/>
        </w:rPr>
        <w:t>政法委</w:t>
      </w:r>
      <w:r>
        <w:rPr>
          <w:rFonts w:ascii="仿宋" w:eastAsia="仿宋" w:hAnsi="仿宋"/>
          <w:kern w:val="0"/>
          <w:sz w:val="32"/>
          <w:szCs w:val="32"/>
        </w:rPr>
        <w:t>主动公开预决算信息</w:t>
      </w:r>
      <w:r>
        <w:rPr>
          <w:rFonts w:ascii="仿宋" w:eastAsia="仿宋" w:hAnsi="仿宋" w:hint="eastAsia"/>
          <w:kern w:val="0"/>
          <w:sz w:val="32"/>
          <w:szCs w:val="32"/>
        </w:rPr>
        <w:t>，本部门</w:t>
      </w:r>
      <w:r>
        <w:rPr>
          <w:rFonts w:ascii="仿宋" w:eastAsia="仿宋" w:hAnsi="仿宋" w:hint="eastAsia"/>
          <w:kern w:val="0"/>
          <w:sz w:val="32"/>
          <w:szCs w:val="32"/>
        </w:rPr>
        <w:t>负责公开本部门和下属各单位预决算</w:t>
      </w:r>
      <w:r>
        <w:rPr>
          <w:rFonts w:ascii="仿宋" w:eastAsia="仿宋" w:hAnsi="仿宋"/>
          <w:kern w:val="0"/>
          <w:sz w:val="32"/>
          <w:szCs w:val="32"/>
        </w:rPr>
        <w:t>。</w:t>
      </w:r>
    </w:p>
    <w:p w:rsidR="00000000" w:rsidRDefault="004F7623">
      <w:pPr>
        <w:spacing w:line="560" w:lineRule="exact"/>
        <w:ind w:firstLineChars="200" w:firstLine="643"/>
        <w:rPr>
          <w:rFonts w:ascii="宋体" w:hAnsi="宋体" w:hint="eastAsia"/>
          <w:b/>
          <w:kern w:val="0"/>
          <w:sz w:val="32"/>
          <w:szCs w:val="32"/>
        </w:rPr>
      </w:pPr>
      <w:r>
        <w:rPr>
          <w:rFonts w:ascii="宋体" w:hAnsi="宋体" w:hint="eastAsia"/>
          <w:b/>
          <w:kern w:val="0"/>
          <w:sz w:val="32"/>
          <w:szCs w:val="32"/>
        </w:rPr>
        <w:t>二、工作要求</w:t>
      </w:r>
    </w:p>
    <w:p w:rsidR="00000000" w:rsidRDefault="004F7623">
      <w:pPr>
        <w:spacing w:line="560" w:lineRule="exact"/>
        <w:ind w:firstLineChars="200" w:firstLine="643"/>
        <w:rPr>
          <w:rFonts w:ascii="仿宋" w:eastAsia="仿宋" w:hAnsi="仿宋"/>
          <w:b/>
          <w:sz w:val="32"/>
          <w:szCs w:val="32"/>
        </w:rPr>
      </w:pPr>
      <w:r>
        <w:rPr>
          <w:rFonts w:ascii="仿宋" w:eastAsia="仿宋" w:hAnsi="仿宋"/>
          <w:b/>
          <w:sz w:val="32"/>
          <w:szCs w:val="32"/>
        </w:rPr>
        <w:lastRenderedPageBreak/>
        <w:t>（</w:t>
      </w:r>
      <w:r>
        <w:rPr>
          <w:rFonts w:ascii="仿宋" w:eastAsia="仿宋" w:hAnsi="仿宋" w:hint="eastAsia"/>
          <w:b/>
          <w:sz w:val="32"/>
          <w:szCs w:val="32"/>
        </w:rPr>
        <w:t>一</w:t>
      </w:r>
      <w:r>
        <w:rPr>
          <w:rFonts w:ascii="仿宋" w:eastAsia="仿宋" w:hAnsi="仿宋"/>
          <w:b/>
          <w:sz w:val="32"/>
          <w:szCs w:val="32"/>
        </w:rPr>
        <w:t>）市级部门预决算公开。</w:t>
      </w:r>
    </w:p>
    <w:p w:rsidR="00000000" w:rsidRDefault="004F7623">
      <w:pPr>
        <w:pStyle w:val="a6"/>
        <w:shd w:val="clear" w:color="auto" w:fill="FFFFFF"/>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Times New Roman"/>
          <w:sz w:val="32"/>
          <w:szCs w:val="32"/>
        </w:rPr>
        <w:t>1</w:t>
      </w:r>
      <w:r>
        <w:rPr>
          <w:rFonts w:ascii="仿宋" w:eastAsia="仿宋" w:hAnsi="仿宋" w:hint="eastAsia"/>
          <w:sz w:val="32"/>
          <w:szCs w:val="32"/>
        </w:rPr>
        <w:t>．</w:t>
      </w:r>
      <w:r>
        <w:rPr>
          <w:rFonts w:ascii="仿宋" w:eastAsia="仿宋" w:hAnsi="仿宋" w:cs="Times New Roman"/>
          <w:sz w:val="32"/>
          <w:szCs w:val="32"/>
        </w:rPr>
        <w:t>公开</w:t>
      </w:r>
      <w:r>
        <w:rPr>
          <w:rFonts w:ascii="仿宋" w:eastAsia="仿宋" w:hAnsi="仿宋" w:cs="Times New Roman"/>
          <w:sz w:val="32"/>
          <w:szCs w:val="32"/>
        </w:rPr>
        <w:t>20</w:t>
      </w:r>
      <w:r>
        <w:rPr>
          <w:rFonts w:ascii="仿宋" w:eastAsia="仿宋" w:hAnsi="仿宋" w:cs="Times New Roman" w:hint="eastAsia"/>
          <w:sz w:val="32"/>
          <w:szCs w:val="32"/>
        </w:rPr>
        <w:t>2</w:t>
      </w:r>
      <w:r>
        <w:rPr>
          <w:rFonts w:ascii="仿宋" w:eastAsia="仿宋" w:hAnsi="仿宋" w:cs="Times New Roman" w:hint="eastAsia"/>
          <w:sz w:val="32"/>
          <w:szCs w:val="32"/>
        </w:rPr>
        <w:t>2</w:t>
      </w:r>
      <w:r>
        <w:rPr>
          <w:rFonts w:ascii="仿宋" w:eastAsia="仿宋" w:hAnsi="仿宋" w:cs="Times New Roman"/>
          <w:sz w:val="32"/>
          <w:szCs w:val="32"/>
        </w:rPr>
        <w:t>年市级部门预算。</w:t>
      </w:r>
    </w:p>
    <w:p w:rsidR="00000000" w:rsidRDefault="004F7623">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1</w:t>
      </w:r>
      <w:r>
        <w:rPr>
          <w:rFonts w:ascii="仿宋" w:eastAsia="仿宋" w:hAnsi="仿宋"/>
          <w:sz w:val="32"/>
          <w:szCs w:val="32"/>
        </w:rPr>
        <w:t>）公开主体：</w:t>
      </w:r>
      <w:r>
        <w:rPr>
          <w:rFonts w:ascii="仿宋" w:eastAsia="仿宋" w:hAnsi="仿宋" w:hint="eastAsia"/>
          <w:sz w:val="32"/>
          <w:szCs w:val="32"/>
        </w:rPr>
        <w:t>太仓市</w:t>
      </w:r>
      <w:r w:rsidR="00DB1043">
        <w:rPr>
          <w:rFonts w:ascii="仿宋" w:eastAsia="仿宋" w:hAnsi="仿宋" w:hint="eastAsia"/>
          <w:sz w:val="32"/>
          <w:szCs w:val="32"/>
        </w:rPr>
        <w:t>政法委</w:t>
      </w:r>
      <w:r>
        <w:rPr>
          <w:rFonts w:ascii="仿宋" w:eastAsia="仿宋" w:hAnsi="仿宋"/>
          <w:kern w:val="0"/>
          <w:sz w:val="32"/>
          <w:szCs w:val="32"/>
        </w:rPr>
        <w:t>。</w:t>
      </w:r>
    </w:p>
    <w:p w:rsidR="00000000" w:rsidRDefault="004F7623">
      <w:pPr>
        <w:spacing w:line="560" w:lineRule="exact"/>
        <w:ind w:firstLineChars="200" w:firstLine="640"/>
        <w:rPr>
          <w:rFonts w:ascii="仿宋" w:eastAsia="仿宋" w:hAnsi="仿宋"/>
          <w:kern w:val="0"/>
          <w:sz w:val="32"/>
          <w:szCs w:val="32"/>
        </w:rPr>
      </w:pPr>
      <w:r>
        <w:rPr>
          <w:rFonts w:ascii="仿宋" w:eastAsia="仿宋" w:hAnsi="仿宋"/>
          <w:sz w:val="32"/>
          <w:szCs w:val="32"/>
        </w:rPr>
        <w:t>（</w:t>
      </w:r>
      <w:r>
        <w:rPr>
          <w:rFonts w:ascii="仿宋" w:eastAsia="仿宋" w:hAnsi="仿宋"/>
          <w:sz w:val="32"/>
          <w:szCs w:val="32"/>
        </w:rPr>
        <w:t>2</w:t>
      </w:r>
      <w:r>
        <w:rPr>
          <w:rFonts w:ascii="仿宋" w:eastAsia="仿宋" w:hAnsi="仿宋"/>
          <w:sz w:val="32"/>
          <w:szCs w:val="32"/>
        </w:rPr>
        <w:t>）公开时间：</w:t>
      </w:r>
      <w:r>
        <w:rPr>
          <w:rFonts w:ascii="仿宋" w:eastAsia="仿宋" w:hAnsi="仿宋"/>
          <w:kern w:val="0"/>
          <w:sz w:val="32"/>
          <w:szCs w:val="32"/>
        </w:rPr>
        <w:t>在</w:t>
      </w:r>
      <w:r>
        <w:rPr>
          <w:rFonts w:ascii="仿宋" w:eastAsia="仿宋" w:hAnsi="仿宋" w:hint="eastAsia"/>
          <w:kern w:val="0"/>
          <w:sz w:val="32"/>
          <w:szCs w:val="32"/>
        </w:rPr>
        <w:t>本级政府财政部门预算</w:t>
      </w:r>
      <w:r>
        <w:rPr>
          <w:rFonts w:ascii="仿宋" w:eastAsia="仿宋" w:hAnsi="仿宋"/>
          <w:kern w:val="0"/>
          <w:sz w:val="32"/>
          <w:szCs w:val="32"/>
        </w:rPr>
        <w:t>批复后</w:t>
      </w:r>
      <w:r>
        <w:rPr>
          <w:rFonts w:ascii="仿宋" w:eastAsia="仿宋" w:hAnsi="仿宋"/>
          <w:kern w:val="0"/>
          <w:sz w:val="32"/>
          <w:szCs w:val="32"/>
        </w:rPr>
        <w:t>20</w:t>
      </w:r>
      <w:r>
        <w:rPr>
          <w:rFonts w:ascii="仿宋" w:eastAsia="仿宋" w:hAnsi="仿宋"/>
          <w:kern w:val="0"/>
          <w:sz w:val="32"/>
          <w:szCs w:val="32"/>
        </w:rPr>
        <w:t>日内公</w:t>
      </w:r>
      <w:r>
        <w:rPr>
          <w:rFonts w:ascii="仿宋" w:eastAsia="仿宋" w:hAnsi="仿宋"/>
          <w:kern w:val="0"/>
          <w:sz w:val="32"/>
          <w:szCs w:val="32"/>
        </w:rPr>
        <w:t>开。</w:t>
      </w:r>
    </w:p>
    <w:p w:rsidR="00000000" w:rsidRDefault="004F7623">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3</w:t>
      </w:r>
      <w:r>
        <w:rPr>
          <w:rFonts w:ascii="仿宋" w:eastAsia="仿宋" w:hAnsi="仿宋"/>
          <w:sz w:val="32"/>
          <w:szCs w:val="32"/>
        </w:rPr>
        <w:t>）</w:t>
      </w:r>
      <w:r>
        <w:rPr>
          <w:rFonts w:ascii="仿宋" w:eastAsia="仿宋" w:hAnsi="仿宋"/>
          <w:kern w:val="0"/>
          <w:sz w:val="32"/>
          <w:szCs w:val="32"/>
        </w:rPr>
        <w:t>公开方式：</w:t>
      </w:r>
      <w:r>
        <w:rPr>
          <w:rFonts w:ascii="仿宋" w:eastAsia="仿宋" w:hAnsi="仿宋" w:hint="eastAsia"/>
          <w:sz w:val="32"/>
          <w:szCs w:val="32"/>
        </w:rPr>
        <w:t>“江苏省预决算公开统一平台”——部门预算</w:t>
      </w:r>
      <w:r>
        <w:rPr>
          <w:rFonts w:ascii="仿宋" w:eastAsia="仿宋" w:hAnsi="仿宋"/>
          <w:sz w:val="32"/>
          <w:szCs w:val="32"/>
        </w:rPr>
        <w:t>公开专栏公开。</w:t>
      </w:r>
    </w:p>
    <w:p w:rsidR="00000000" w:rsidRDefault="004F7623">
      <w:pPr>
        <w:spacing w:line="56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sz w:val="32"/>
          <w:szCs w:val="32"/>
        </w:rPr>
        <w:t>4</w:t>
      </w:r>
      <w:r>
        <w:rPr>
          <w:rFonts w:ascii="仿宋" w:eastAsia="仿宋" w:hAnsi="仿宋"/>
          <w:sz w:val="32"/>
          <w:szCs w:val="32"/>
        </w:rPr>
        <w:t>）公开内容：</w:t>
      </w:r>
      <w:r>
        <w:rPr>
          <w:rFonts w:ascii="仿宋" w:eastAsia="仿宋" w:hAnsi="仿宋" w:hint="eastAsia"/>
          <w:sz w:val="32"/>
          <w:szCs w:val="32"/>
        </w:rPr>
        <w:t>①</w:t>
      </w:r>
      <w:r>
        <w:rPr>
          <w:rFonts w:ascii="仿宋" w:eastAsia="仿宋" w:hAnsi="仿宋"/>
          <w:sz w:val="32"/>
          <w:szCs w:val="32"/>
        </w:rPr>
        <w:t>部门概况。</w:t>
      </w:r>
      <w:r>
        <w:rPr>
          <w:rFonts w:ascii="仿宋" w:eastAsia="仿宋" w:hAnsi="仿宋" w:hint="eastAsia"/>
          <w:sz w:val="32"/>
          <w:szCs w:val="32"/>
        </w:rPr>
        <w:t>包括：部门主要职能、部门机构设置及预算单位构成情况、</w:t>
      </w:r>
      <w:r>
        <w:rPr>
          <w:rFonts w:ascii="仿宋" w:eastAsia="仿宋" w:hAnsi="仿宋" w:hint="eastAsia"/>
          <w:sz w:val="32"/>
          <w:szCs w:val="32"/>
        </w:rPr>
        <w:t>2022</w:t>
      </w:r>
      <w:r>
        <w:rPr>
          <w:rFonts w:ascii="仿宋" w:eastAsia="仿宋" w:hAnsi="仿宋" w:hint="eastAsia"/>
          <w:sz w:val="32"/>
          <w:szCs w:val="32"/>
        </w:rPr>
        <w:t>年度部门主要工作任务及目标</w:t>
      </w:r>
      <w:r>
        <w:rPr>
          <w:rFonts w:ascii="仿宋" w:eastAsia="仿宋" w:hAnsi="仿宋"/>
          <w:sz w:val="32"/>
          <w:szCs w:val="32"/>
        </w:rPr>
        <w:t>。</w:t>
      </w:r>
    </w:p>
    <w:p w:rsidR="00000000" w:rsidRDefault="004F7623">
      <w:pPr>
        <w:spacing w:line="560" w:lineRule="exact"/>
        <w:ind w:firstLineChars="200" w:firstLine="640"/>
        <w:rPr>
          <w:rFonts w:ascii="仿宋" w:eastAsia="仿宋" w:hAnsi="仿宋"/>
          <w:sz w:val="32"/>
          <w:szCs w:val="32"/>
        </w:rPr>
      </w:pPr>
      <w:r>
        <w:rPr>
          <w:rFonts w:ascii="仿宋" w:eastAsia="仿宋" w:hAnsi="仿宋" w:hint="eastAsia"/>
          <w:sz w:val="32"/>
          <w:szCs w:val="32"/>
        </w:rPr>
        <w:t>②</w:t>
      </w:r>
      <w:r>
        <w:rPr>
          <w:rFonts w:ascii="仿宋" w:eastAsia="仿宋" w:hAnsi="仿宋"/>
          <w:sz w:val="32"/>
          <w:szCs w:val="32"/>
        </w:rPr>
        <w:t>部门预算公开表。</w:t>
      </w:r>
      <w:r>
        <w:rPr>
          <w:rFonts w:ascii="仿宋" w:eastAsia="仿宋" w:hAnsi="仿宋" w:hint="eastAsia"/>
          <w:sz w:val="32"/>
          <w:szCs w:val="32"/>
        </w:rPr>
        <w:t>2022</w:t>
      </w:r>
      <w:r>
        <w:rPr>
          <w:rFonts w:ascii="仿宋" w:eastAsia="仿宋" w:hAnsi="仿宋" w:hint="eastAsia"/>
          <w:sz w:val="32"/>
          <w:szCs w:val="32"/>
        </w:rPr>
        <w:t>年</w:t>
      </w:r>
      <w:r>
        <w:rPr>
          <w:rFonts w:ascii="仿宋" w:eastAsia="仿宋" w:hAnsi="仿宋"/>
          <w:sz w:val="32"/>
          <w:szCs w:val="32"/>
        </w:rPr>
        <w:t>部门预算公开表共</w:t>
      </w:r>
      <w:r>
        <w:rPr>
          <w:rFonts w:ascii="仿宋" w:eastAsia="仿宋" w:hAnsi="仿宋"/>
          <w:sz w:val="32"/>
          <w:szCs w:val="32"/>
        </w:rPr>
        <w:t>1</w:t>
      </w:r>
      <w:r>
        <w:rPr>
          <w:rFonts w:ascii="仿宋" w:eastAsia="仿宋" w:hAnsi="仿宋" w:hint="eastAsia"/>
          <w:sz w:val="32"/>
          <w:szCs w:val="32"/>
        </w:rPr>
        <w:t>3</w:t>
      </w:r>
      <w:r>
        <w:rPr>
          <w:rFonts w:ascii="仿宋" w:eastAsia="仿宋" w:hAnsi="仿宋"/>
          <w:sz w:val="32"/>
          <w:szCs w:val="32"/>
        </w:rPr>
        <w:t>张，包括：</w:t>
      </w:r>
      <w:r>
        <w:rPr>
          <w:rFonts w:ascii="仿宋" w:eastAsia="仿宋" w:hAnsi="仿宋" w:hint="eastAsia"/>
          <w:sz w:val="32"/>
          <w:szCs w:val="32"/>
        </w:rPr>
        <w:t>收支总表、收入总表、支出总表、财政拨款收支总表、财政拨款支出表（功能科目）、财政拨款基本支出表（经济科目）、一般公共预算支出表、一般公共预算基本支出表、一般公共预算“三公”经费会议费培训费支出表、政府性基金预算支出表、国有资本经营预算支出预算表、一般公共预算</w:t>
      </w:r>
      <w:r>
        <w:rPr>
          <w:rFonts w:ascii="仿宋" w:eastAsia="仿宋" w:hAnsi="仿宋" w:hint="eastAsia"/>
          <w:sz w:val="32"/>
          <w:szCs w:val="32"/>
        </w:rPr>
        <w:t>机关运行经费支出表、政府采购支出表等。</w:t>
      </w:r>
    </w:p>
    <w:p w:rsidR="00000000" w:rsidRDefault="004F7623">
      <w:pPr>
        <w:adjustRightInd w:val="0"/>
        <w:spacing w:line="560" w:lineRule="exact"/>
        <w:ind w:firstLineChars="200" w:firstLine="640"/>
        <w:contextualSpacing/>
        <w:rPr>
          <w:rFonts w:ascii="仿宋" w:eastAsia="仿宋" w:hAnsi="仿宋" w:hint="eastAsia"/>
          <w:sz w:val="32"/>
          <w:szCs w:val="32"/>
        </w:rPr>
      </w:pPr>
      <w:r>
        <w:rPr>
          <w:rFonts w:ascii="仿宋" w:eastAsia="仿宋" w:hAnsi="仿宋" w:hint="eastAsia"/>
          <w:sz w:val="32"/>
          <w:szCs w:val="32"/>
        </w:rPr>
        <w:t>③</w:t>
      </w:r>
      <w:r>
        <w:rPr>
          <w:rFonts w:ascii="仿宋" w:eastAsia="仿宋" w:hAnsi="仿宋"/>
          <w:sz w:val="32"/>
          <w:szCs w:val="32"/>
        </w:rPr>
        <w:t>部门预算</w:t>
      </w:r>
      <w:r>
        <w:rPr>
          <w:rFonts w:ascii="仿宋" w:eastAsia="仿宋" w:hAnsi="仿宋" w:hint="eastAsia"/>
          <w:sz w:val="32"/>
          <w:szCs w:val="32"/>
        </w:rPr>
        <w:t>公</w:t>
      </w:r>
      <w:r>
        <w:rPr>
          <w:rFonts w:ascii="仿宋" w:eastAsia="仿宋" w:hAnsi="仿宋" w:hint="eastAsia"/>
          <w:sz w:val="32"/>
          <w:szCs w:val="32"/>
        </w:rPr>
        <w:t>开</w:t>
      </w:r>
      <w:r>
        <w:rPr>
          <w:rFonts w:ascii="仿宋" w:eastAsia="仿宋" w:hAnsi="仿宋"/>
          <w:sz w:val="32"/>
          <w:szCs w:val="32"/>
        </w:rPr>
        <w:t>说明。</w:t>
      </w:r>
      <w:r>
        <w:rPr>
          <w:rFonts w:ascii="仿宋" w:eastAsia="仿宋" w:hAnsi="仿宋" w:hint="eastAsia"/>
          <w:sz w:val="32"/>
          <w:szCs w:val="32"/>
        </w:rPr>
        <w:t>2022</w:t>
      </w:r>
      <w:r>
        <w:rPr>
          <w:rFonts w:ascii="仿宋" w:eastAsia="仿宋" w:hAnsi="仿宋" w:hint="eastAsia"/>
          <w:sz w:val="32"/>
          <w:szCs w:val="32"/>
        </w:rPr>
        <w:t>年部门</w:t>
      </w:r>
      <w:r>
        <w:rPr>
          <w:rFonts w:ascii="仿宋" w:eastAsia="仿宋" w:hAnsi="仿宋"/>
          <w:sz w:val="32"/>
          <w:szCs w:val="32"/>
        </w:rPr>
        <w:t>预算公开说明事项共</w:t>
      </w:r>
      <w:r>
        <w:rPr>
          <w:rFonts w:ascii="仿宋" w:eastAsia="仿宋" w:hAnsi="仿宋"/>
          <w:sz w:val="32"/>
          <w:szCs w:val="32"/>
        </w:rPr>
        <w:t>1</w:t>
      </w:r>
      <w:r>
        <w:rPr>
          <w:rFonts w:ascii="仿宋" w:eastAsia="仿宋" w:hAnsi="仿宋" w:hint="eastAsia"/>
          <w:sz w:val="32"/>
          <w:szCs w:val="32"/>
        </w:rPr>
        <w:t>5</w:t>
      </w:r>
      <w:r>
        <w:rPr>
          <w:rFonts w:ascii="仿宋" w:eastAsia="仿宋" w:hAnsi="仿宋"/>
          <w:sz w:val="32"/>
          <w:szCs w:val="32"/>
        </w:rPr>
        <w:t>项</w:t>
      </w:r>
      <w:r>
        <w:rPr>
          <w:rFonts w:ascii="仿宋" w:eastAsia="仿宋" w:hAnsi="仿宋" w:hint="eastAsia"/>
          <w:sz w:val="32"/>
          <w:szCs w:val="32"/>
        </w:rPr>
        <w:t>，包</w:t>
      </w:r>
      <w:r>
        <w:rPr>
          <w:rFonts w:ascii="仿宋" w:eastAsia="仿宋" w:hAnsi="仿宋"/>
          <w:sz w:val="32"/>
          <w:szCs w:val="32"/>
        </w:rPr>
        <w:t>括：</w:t>
      </w:r>
      <w:r>
        <w:rPr>
          <w:rFonts w:ascii="仿宋" w:eastAsia="仿宋" w:hAnsi="仿宋" w:hint="eastAsia"/>
          <w:sz w:val="32"/>
          <w:szCs w:val="32"/>
        </w:rPr>
        <w:t>收支预算总体情况、收入预算情况、支出预算情况、财政拨款收支预算总体情况、财政拨款支出预算情况、财政拨款基本支出预算情况、一般公共预算支出预算情况、一般公共预算基本支出预算情况、一般公共预算“三公”经费会议费培训费支出预算情况、政府性基金预算支出预算情况、国有资本</w:t>
      </w:r>
      <w:r>
        <w:rPr>
          <w:rFonts w:ascii="仿宋" w:eastAsia="仿宋" w:hAnsi="仿宋" w:hint="eastAsia"/>
          <w:sz w:val="32"/>
          <w:szCs w:val="32"/>
        </w:rPr>
        <w:lastRenderedPageBreak/>
        <w:t>经营预算支出预算情况、一般公共预算机关运行经费支出预算情况、政府采购支出预算情况、国有资产占用情况、预算绩效目标设置情况</w:t>
      </w:r>
      <w:r>
        <w:rPr>
          <w:rFonts w:ascii="仿宋" w:eastAsia="仿宋" w:hAnsi="仿宋"/>
          <w:sz w:val="32"/>
          <w:szCs w:val="32"/>
        </w:rPr>
        <w:t>。</w:t>
      </w:r>
    </w:p>
    <w:p w:rsidR="00000000" w:rsidRDefault="004F7623">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④</w:t>
      </w:r>
      <w:r>
        <w:rPr>
          <w:rFonts w:ascii="仿宋" w:eastAsia="仿宋" w:hAnsi="仿宋"/>
          <w:sz w:val="32"/>
          <w:szCs w:val="32"/>
        </w:rPr>
        <w:t>名词解释。对本部门</w:t>
      </w:r>
      <w:r>
        <w:rPr>
          <w:rFonts w:ascii="仿宋" w:eastAsia="仿宋" w:hAnsi="仿宋"/>
          <w:sz w:val="32"/>
          <w:szCs w:val="32"/>
        </w:rPr>
        <w:t>预算公开中使用的专业性较强的名词进行解释。</w:t>
      </w:r>
    </w:p>
    <w:p w:rsidR="00000000" w:rsidRDefault="004F7623">
      <w:pPr>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sz w:val="32"/>
          <w:szCs w:val="32"/>
        </w:rPr>
        <w:t>．公开</w:t>
      </w:r>
      <w:r>
        <w:rPr>
          <w:rFonts w:ascii="仿宋" w:eastAsia="仿宋" w:hAnsi="仿宋"/>
          <w:sz w:val="32"/>
          <w:szCs w:val="32"/>
        </w:rPr>
        <w:t>20</w:t>
      </w:r>
      <w:r>
        <w:rPr>
          <w:rFonts w:ascii="仿宋" w:eastAsia="仿宋" w:hAnsi="仿宋" w:hint="eastAsia"/>
          <w:sz w:val="32"/>
          <w:szCs w:val="32"/>
        </w:rPr>
        <w:t>2</w:t>
      </w:r>
      <w:r>
        <w:rPr>
          <w:rFonts w:ascii="仿宋" w:eastAsia="仿宋" w:hAnsi="仿宋" w:hint="eastAsia"/>
          <w:sz w:val="32"/>
          <w:szCs w:val="32"/>
        </w:rPr>
        <w:t>1</w:t>
      </w:r>
      <w:r>
        <w:rPr>
          <w:rFonts w:ascii="仿宋" w:eastAsia="仿宋" w:hAnsi="仿宋"/>
          <w:sz w:val="32"/>
          <w:szCs w:val="32"/>
        </w:rPr>
        <w:t>年市级部门决算。</w:t>
      </w:r>
    </w:p>
    <w:p w:rsidR="00000000" w:rsidRDefault="004F7623">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）公开主体：太仓市</w:t>
      </w:r>
      <w:r w:rsidR="00F27A9F">
        <w:rPr>
          <w:rFonts w:ascii="仿宋" w:eastAsia="仿宋" w:hAnsi="仿宋" w:hint="eastAsia"/>
          <w:sz w:val="32"/>
          <w:szCs w:val="32"/>
        </w:rPr>
        <w:t>政法委</w:t>
      </w:r>
      <w:r>
        <w:rPr>
          <w:rFonts w:ascii="仿宋" w:eastAsia="仿宋" w:hAnsi="仿宋"/>
          <w:sz w:val="32"/>
          <w:szCs w:val="32"/>
        </w:rPr>
        <w:t>。</w:t>
      </w:r>
      <w:r>
        <w:rPr>
          <w:rFonts w:ascii="仿宋" w:eastAsia="仿宋" w:hAnsi="仿宋" w:hint="eastAsia"/>
          <w:sz w:val="32"/>
          <w:szCs w:val="32"/>
        </w:rPr>
        <w:t xml:space="preserve">     </w:t>
      </w:r>
    </w:p>
    <w:p w:rsidR="00000000" w:rsidRDefault="004F7623">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）公开时间：在本级政府财政部门决算批复后</w:t>
      </w:r>
      <w:r>
        <w:rPr>
          <w:rFonts w:ascii="仿宋" w:eastAsia="仿宋" w:hAnsi="仿宋" w:hint="eastAsia"/>
          <w:sz w:val="32"/>
          <w:szCs w:val="32"/>
        </w:rPr>
        <w:t>20</w:t>
      </w:r>
      <w:r>
        <w:rPr>
          <w:rFonts w:ascii="仿宋" w:eastAsia="仿宋" w:hAnsi="仿宋" w:hint="eastAsia"/>
          <w:sz w:val="32"/>
          <w:szCs w:val="32"/>
        </w:rPr>
        <w:t>日内公开。</w:t>
      </w:r>
    </w:p>
    <w:p w:rsidR="00000000" w:rsidRDefault="004F7623">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）公开方式：江苏省预决算公开统一平台——部门决算公开专栏公开。</w:t>
      </w:r>
    </w:p>
    <w:p w:rsidR="00000000" w:rsidRDefault="004F7623">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）公开内容：</w:t>
      </w:r>
    </w:p>
    <w:p w:rsidR="00000000" w:rsidRDefault="004F7623">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①</w:t>
      </w:r>
      <w:r>
        <w:rPr>
          <w:rFonts w:ascii="仿宋" w:eastAsia="仿宋" w:hAnsi="仿宋"/>
          <w:sz w:val="32"/>
          <w:szCs w:val="32"/>
        </w:rPr>
        <w:t>部门概况。</w:t>
      </w:r>
      <w:r>
        <w:rPr>
          <w:rFonts w:ascii="仿宋" w:eastAsia="仿宋" w:hAnsi="仿宋" w:hint="eastAsia"/>
          <w:sz w:val="32"/>
          <w:szCs w:val="32"/>
        </w:rPr>
        <w:t>包括：部门主要职能、部门机构设置及决算单位构成情况、</w:t>
      </w:r>
      <w:r>
        <w:rPr>
          <w:rFonts w:ascii="仿宋" w:eastAsia="仿宋" w:hAnsi="仿宋" w:hint="eastAsia"/>
          <w:sz w:val="32"/>
          <w:szCs w:val="32"/>
        </w:rPr>
        <w:t>2021</w:t>
      </w:r>
      <w:r>
        <w:rPr>
          <w:rFonts w:ascii="仿宋" w:eastAsia="仿宋" w:hAnsi="仿宋" w:hint="eastAsia"/>
          <w:sz w:val="32"/>
          <w:szCs w:val="32"/>
        </w:rPr>
        <w:t>年度部门主要工作完成情况</w:t>
      </w:r>
      <w:r>
        <w:rPr>
          <w:rFonts w:ascii="仿宋" w:eastAsia="仿宋" w:hAnsi="仿宋"/>
          <w:sz w:val="32"/>
          <w:szCs w:val="32"/>
        </w:rPr>
        <w:t>。</w:t>
      </w:r>
    </w:p>
    <w:p w:rsidR="00000000" w:rsidRDefault="004F7623">
      <w:pPr>
        <w:spacing w:line="560" w:lineRule="exact"/>
        <w:ind w:firstLineChars="200" w:firstLine="640"/>
        <w:rPr>
          <w:rFonts w:ascii="仿宋" w:eastAsia="仿宋" w:hAnsi="仿宋"/>
          <w:sz w:val="32"/>
          <w:szCs w:val="32"/>
        </w:rPr>
      </w:pPr>
      <w:r>
        <w:rPr>
          <w:rFonts w:ascii="仿宋" w:eastAsia="仿宋" w:hAnsi="仿宋" w:hint="eastAsia"/>
          <w:sz w:val="32"/>
          <w:szCs w:val="32"/>
        </w:rPr>
        <w:t>②</w:t>
      </w:r>
      <w:r>
        <w:rPr>
          <w:rFonts w:ascii="仿宋" w:eastAsia="仿宋" w:hAnsi="仿宋"/>
          <w:sz w:val="32"/>
          <w:szCs w:val="32"/>
        </w:rPr>
        <w:t>部门</w:t>
      </w:r>
      <w:r>
        <w:rPr>
          <w:rFonts w:ascii="仿宋" w:eastAsia="仿宋" w:hAnsi="仿宋" w:hint="eastAsia"/>
          <w:sz w:val="32"/>
          <w:szCs w:val="32"/>
        </w:rPr>
        <w:t>决</w:t>
      </w:r>
      <w:r>
        <w:rPr>
          <w:rFonts w:ascii="仿宋" w:eastAsia="仿宋" w:hAnsi="仿宋"/>
          <w:sz w:val="32"/>
          <w:szCs w:val="32"/>
        </w:rPr>
        <w:t>算公开表。</w:t>
      </w:r>
      <w:r>
        <w:rPr>
          <w:rFonts w:ascii="仿宋" w:eastAsia="仿宋" w:hAnsi="仿宋" w:hint="eastAsia"/>
          <w:sz w:val="32"/>
          <w:szCs w:val="32"/>
        </w:rPr>
        <w:t>2021</w:t>
      </w:r>
      <w:r>
        <w:rPr>
          <w:rFonts w:ascii="仿宋" w:eastAsia="仿宋" w:hAnsi="仿宋" w:hint="eastAsia"/>
          <w:sz w:val="32"/>
          <w:szCs w:val="32"/>
        </w:rPr>
        <w:t>年部门决算公开表共</w:t>
      </w:r>
      <w:r>
        <w:rPr>
          <w:rFonts w:ascii="仿宋" w:eastAsia="仿宋" w:hAnsi="仿宋" w:hint="eastAsia"/>
          <w:sz w:val="32"/>
          <w:szCs w:val="32"/>
        </w:rPr>
        <w:t>13</w:t>
      </w:r>
      <w:r>
        <w:rPr>
          <w:rFonts w:ascii="仿宋" w:eastAsia="仿宋" w:hAnsi="仿宋" w:hint="eastAsia"/>
          <w:sz w:val="32"/>
          <w:szCs w:val="32"/>
        </w:rPr>
        <w:t>张，包括：收入支出决算总表、收入决算表、支出决算表、财政拨款收入支出决算总表、财政拨</w:t>
      </w:r>
      <w:r>
        <w:rPr>
          <w:rFonts w:ascii="仿宋" w:eastAsia="仿宋" w:hAnsi="仿宋" w:hint="eastAsia"/>
          <w:sz w:val="32"/>
          <w:szCs w:val="32"/>
        </w:rPr>
        <w:t>款支出决算表（功能科目）、财政拨款基本支出决算表（经济科目）、一般公共预算支出决算表（功能科目）、一般公共预算基本支出决算表（经济科目）、一般公共预算“三公”经费会议费培训费支出决算表、政府性基金预算支出决算表、国有资本经营预算支出决算表、一般公共预算机关运行经费支出决算表、政府采购支出决算表</w:t>
      </w:r>
      <w:r>
        <w:rPr>
          <w:rFonts w:ascii="仿宋" w:eastAsia="仿宋" w:hAnsi="仿宋"/>
          <w:sz w:val="32"/>
          <w:szCs w:val="32"/>
        </w:rPr>
        <w:t>。</w:t>
      </w:r>
    </w:p>
    <w:p w:rsidR="00000000" w:rsidRDefault="004F7623">
      <w:pPr>
        <w:adjustRightInd w:val="0"/>
        <w:spacing w:line="560" w:lineRule="exact"/>
        <w:ind w:firstLineChars="200" w:firstLine="640"/>
        <w:contextualSpacing/>
        <w:rPr>
          <w:rFonts w:ascii="仿宋" w:eastAsia="仿宋" w:hAnsi="仿宋" w:hint="eastAsia"/>
          <w:sz w:val="32"/>
          <w:szCs w:val="32"/>
        </w:rPr>
      </w:pPr>
      <w:r>
        <w:rPr>
          <w:rFonts w:ascii="仿宋" w:eastAsia="仿宋" w:hAnsi="仿宋" w:hint="eastAsia"/>
          <w:sz w:val="32"/>
          <w:szCs w:val="32"/>
        </w:rPr>
        <w:t>③</w:t>
      </w:r>
      <w:r>
        <w:rPr>
          <w:rFonts w:ascii="仿宋" w:eastAsia="仿宋" w:hAnsi="仿宋"/>
          <w:sz w:val="32"/>
          <w:szCs w:val="32"/>
        </w:rPr>
        <w:t>部门决算</w:t>
      </w:r>
      <w:r>
        <w:rPr>
          <w:rFonts w:ascii="仿宋" w:eastAsia="仿宋" w:hAnsi="仿宋" w:hint="eastAsia"/>
          <w:sz w:val="32"/>
          <w:szCs w:val="32"/>
        </w:rPr>
        <w:t>情况说明。</w:t>
      </w:r>
      <w:r>
        <w:rPr>
          <w:rFonts w:ascii="仿宋" w:eastAsia="仿宋" w:hAnsi="仿宋" w:hint="eastAsia"/>
          <w:sz w:val="32"/>
          <w:szCs w:val="32"/>
        </w:rPr>
        <w:t>2021</w:t>
      </w:r>
      <w:r>
        <w:rPr>
          <w:rFonts w:ascii="仿宋" w:eastAsia="仿宋" w:hAnsi="仿宋" w:hint="eastAsia"/>
          <w:sz w:val="32"/>
          <w:szCs w:val="32"/>
        </w:rPr>
        <w:t>年决算公开说明事项共</w:t>
      </w:r>
      <w:r>
        <w:rPr>
          <w:rFonts w:ascii="仿宋" w:eastAsia="仿宋" w:hAnsi="仿宋" w:hint="eastAsia"/>
          <w:sz w:val="32"/>
          <w:szCs w:val="32"/>
        </w:rPr>
        <w:t>15</w:t>
      </w:r>
      <w:r>
        <w:rPr>
          <w:rFonts w:ascii="仿宋" w:eastAsia="仿宋" w:hAnsi="仿宋" w:hint="eastAsia"/>
          <w:sz w:val="32"/>
          <w:szCs w:val="32"/>
        </w:rPr>
        <w:t>项，</w:t>
      </w:r>
      <w:r>
        <w:rPr>
          <w:rFonts w:ascii="仿宋" w:eastAsia="仿宋" w:hAnsi="仿宋" w:hint="eastAsia"/>
          <w:sz w:val="32"/>
          <w:szCs w:val="32"/>
        </w:rPr>
        <w:lastRenderedPageBreak/>
        <w:t>包括：收入支出总体情况、收入决算情况、支出决算情况、财政拨款收入支出决算总体情况、财政拨款支出决算情况、财政拨款基本支出决算情况、一般公共预算财政拨款支出决算</w:t>
      </w:r>
      <w:r>
        <w:rPr>
          <w:rFonts w:ascii="仿宋" w:eastAsia="仿宋" w:hAnsi="仿宋" w:hint="eastAsia"/>
          <w:sz w:val="32"/>
          <w:szCs w:val="32"/>
        </w:rPr>
        <w:t>情况、一般公共预算财政拨款基本支出决算情况、一般公共预算财政拨款“三公”经费会议费培训费支出情况、政府性基金预算财政拨款支出决算情况、国有资本经营预算财政拨款支出决算情况说明、一般公共预算机关运行经费支出决算情况、政府采购支出决算情况、国有资产占用情况、预算绩效评价工作开展情况</w:t>
      </w:r>
      <w:r>
        <w:rPr>
          <w:rFonts w:ascii="仿宋" w:eastAsia="仿宋" w:hAnsi="仿宋"/>
          <w:sz w:val="32"/>
          <w:szCs w:val="32"/>
        </w:rPr>
        <w:t>。</w:t>
      </w:r>
    </w:p>
    <w:p w:rsidR="00000000" w:rsidRDefault="004F7623">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④</w:t>
      </w:r>
      <w:r>
        <w:rPr>
          <w:rFonts w:ascii="仿宋" w:eastAsia="仿宋" w:hAnsi="仿宋"/>
          <w:sz w:val="32"/>
          <w:szCs w:val="32"/>
        </w:rPr>
        <w:t>名词解释。对本部门</w:t>
      </w:r>
      <w:r>
        <w:rPr>
          <w:rFonts w:ascii="仿宋" w:eastAsia="仿宋" w:hAnsi="仿宋" w:hint="eastAsia"/>
          <w:sz w:val="32"/>
          <w:szCs w:val="32"/>
        </w:rPr>
        <w:t>决</w:t>
      </w:r>
      <w:r>
        <w:rPr>
          <w:rFonts w:ascii="仿宋" w:eastAsia="仿宋" w:hAnsi="仿宋"/>
          <w:sz w:val="32"/>
          <w:szCs w:val="32"/>
        </w:rPr>
        <w:t>算公开中使用的专业性较强的名词进行解释。</w:t>
      </w:r>
    </w:p>
    <w:p w:rsidR="00000000" w:rsidRDefault="004F7623">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3.</w:t>
      </w:r>
      <w:r>
        <w:rPr>
          <w:rFonts w:ascii="仿宋" w:eastAsia="仿宋" w:hAnsi="仿宋" w:hint="eastAsia"/>
          <w:sz w:val="32"/>
          <w:szCs w:val="32"/>
        </w:rPr>
        <w:t>其他注意事项。</w:t>
      </w:r>
    </w:p>
    <w:p w:rsidR="00000000" w:rsidRDefault="004F7623">
      <w:pPr>
        <w:adjustRightInd w:val="0"/>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）在公开预决算公开表格时，没有数据的空表也要公开，不得自行删除。本部门应确保公开表格中的明细项目合计数与“合计”栏填列的数据一致。</w:t>
      </w:r>
    </w:p>
    <w:p w:rsidR="00000000" w:rsidRDefault="004F7623">
      <w:pPr>
        <w:adjustRightInd w:val="0"/>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）在公</w:t>
      </w:r>
      <w:r>
        <w:rPr>
          <w:rFonts w:ascii="仿宋" w:eastAsia="仿宋" w:hAnsi="仿宋" w:hint="eastAsia"/>
          <w:sz w:val="32"/>
          <w:szCs w:val="32"/>
        </w:rPr>
        <w:t>开“三公”经费、会议费、培训费预决算信息时，应包含以下内容：一般公共预算财政拨款安排的“三公”经费预决算总额和分项数额、会议费和培训费预决算总额，并对增减变化的原因进行说明。“公务用车购置和运行维护费”公开为“公务用车购置费”和“公务用车运行维护费”。“三公”经费决算公开要说明因公出国（境）团组数及人数，公务用车购置数及保有量，公务接待的批次、人数、经费总额以及“三公”经费增减变化原因等情况。会议费、培训费决算公开要说明召</w:t>
      </w:r>
      <w:r>
        <w:rPr>
          <w:rFonts w:ascii="仿宋" w:eastAsia="仿宋" w:hAnsi="仿宋" w:hint="eastAsia"/>
          <w:sz w:val="32"/>
          <w:szCs w:val="32"/>
        </w:rPr>
        <w:lastRenderedPageBreak/>
        <w:t>开会议和组织培训的次数和人数等情况。</w:t>
      </w:r>
    </w:p>
    <w:p w:rsidR="00000000" w:rsidRDefault="004F7623">
      <w:pPr>
        <w:adjustRightInd w:val="0"/>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w:t>
      </w:r>
      <w:r>
        <w:rPr>
          <w:rFonts w:ascii="仿宋" w:eastAsia="仿宋" w:hAnsi="仿宋"/>
          <w:sz w:val="32"/>
          <w:szCs w:val="32"/>
        </w:rPr>
        <w:t>在进行公开说明时，应确保文字说明中的数据与</w:t>
      </w:r>
      <w:r>
        <w:rPr>
          <w:rFonts w:ascii="仿宋" w:eastAsia="仿宋" w:hAnsi="仿宋"/>
          <w:sz w:val="32"/>
          <w:szCs w:val="32"/>
        </w:rPr>
        <w:t>公开表格中的数据相一致。如表格为空表或表格中数据为</w:t>
      </w:r>
      <w:r>
        <w:rPr>
          <w:rFonts w:ascii="仿宋" w:eastAsia="仿宋" w:hAnsi="仿宋"/>
          <w:sz w:val="32"/>
          <w:szCs w:val="32"/>
        </w:rPr>
        <w:t>“0”</w:t>
      </w:r>
      <w:r>
        <w:rPr>
          <w:rFonts w:ascii="仿宋" w:eastAsia="仿宋" w:hAnsi="仿宋"/>
          <w:sz w:val="32"/>
          <w:szCs w:val="32"/>
        </w:rPr>
        <w:t>，对应的文字说明中金额也应填</w:t>
      </w:r>
      <w:r>
        <w:rPr>
          <w:rFonts w:ascii="仿宋" w:eastAsia="仿宋" w:hAnsi="仿宋"/>
          <w:sz w:val="32"/>
          <w:szCs w:val="32"/>
        </w:rPr>
        <w:t>“0”</w:t>
      </w:r>
      <w:r>
        <w:rPr>
          <w:rFonts w:ascii="仿宋" w:eastAsia="仿宋" w:hAnsi="仿宋"/>
          <w:sz w:val="32"/>
          <w:szCs w:val="32"/>
        </w:rPr>
        <w:t>。按要求需与上年决算数（或上年预算数或本年预算数）作对比说明的，即使发生额为</w:t>
      </w:r>
      <w:r>
        <w:rPr>
          <w:rFonts w:ascii="仿宋" w:eastAsia="仿宋" w:hAnsi="仿宋"/>
          <w:sz w:val="32"/>
          <w:szCs w:val="32"/>
        </w:rPr>
        <w:t>“0”</w:t>
      </w:r>
      <w:r>
        <w:rPr>
          <w:rFonts w:ascii="仿宋" w:eastAsia="仿宋" w:hAnsi="仿宋"/>
          <w:sz w:val="32"/>
          <w:szCs w:val="32"/>
        </w:rPr>
        <w:t>，若发生增减变化，也应填写增减变化原因</w:t>
      </w:r>
      <w:r>
        <w:rPr>
          <w:rFonts w:ascii="仿宋" w:eastAsia="仿宋" w:hAnsi="仿宋" w:hint="eastAsia"/>
          <w:sz w:val="32"/>
          <w:szCs w:val="32"/>
        </w:rPr>
        <w:t>。</w:t>
      </w:r>
      <w:r>
        <w:rPr>
          <w:rFonts w:ascii="仿宋" w:eastAsia="仿宋" w:hAnsi="仿宋"/>
          <w:sz w:val="32"/>
          <w:szCs w:val="32"/>
        </w:rPr>
        <w:t>若无增减变化，则应写明</w:t>
      </w:r>
      <w:r>
        <w:rPr>
          <w:rFonts w:ascii="仿宋" w:eastAsia="仿宋" w:hAnsi="仿宋"/>
          <w:sz w:val="32"/>
          <w:szCs w:val="32"/>
        </w:rPr>
        <w:t>“</w:t>
      </w:r>
      <w:r>
        <w:rPr>
          <w:rFonts w:ascii="仿宋" w:eastAsia="仿宋" w:hAnsi="仿宋"/>
          <w:sz w:val="32"/>
          <w:szCs w:val="32"/>
        </w:rPr>
        <w:t>与上年决算数（或上年预算数或本年预算数）相同</w:t>
      </w:r>
      <w:r>
        <w:rPr>
          <w:rFonts w:ascii="仿宋" w:eastAsia="仿宋" w:hAnsi="仿宋"/>
          <w:sz w:val="32"/>
          <w:szCs w:val="32"/>
        </w:rPr>
        <w:t>”</w:t>
      </w:r>
      <w:r>
        <w:rPr>
          <w:rFonts w:ascii="仿宋" w:eastAsia="仿宋" w:hAnsi="仿宋"/>
          <w:sz w:val="32"/>
          <w:szCs w:val="32"/>
        </w:rPr>
        <w:t>。</w:t>
      </w:r>
      <w:r>
        <w:rPr>
          <w:rFonts w:ascii="仿宋" w:eastAsia="仿宋" w:hAnsi="仿宋" w:hint="eastAsia"/>
          <w:sz w:val="32"/>
          <w:szCs w:val="32"/>
        </w:rPr>
        <w:t>作数据对比时，若分母为零则无需说明增减比例。</w:t>
      </w:r>
    </w:p>
    <w:p w:rsidR="00000000" w:rsidRDefault="004F7623">
      <w:pPr>
        <w:pStyle w:val="a6"/>
        <w:shd w:val="clear" w:color="auto" w:fill="FFFFFF"/>
        <w:spacing w:before="0" w:beforeAutospacing="0" w:after="0" w:afterAutospacing="0" w:line="560" w:lineRule="exact"/>
        <w:ind w:firstLineChars="200" w:firstLine="643"/>
        <w:jc w:val="both"/>
        <w:rPr>
          <w:rFonts w:ascii="仿宋" w:eastAsia="仿宋" w:hAnsi="仿宋" w:cs="Times New Roman" w:hint="eastAsia"/>
          <w:b/>
          <w:kern w:val="2"/>
          <w:sz w:val="32"/>
          <w:szCs w:val="32"/>
        </w:rPr>
      </w:pPr>
      <w:r>
        <w:rPr>
          <w:rFonts w:ascii="仿宋" w:eastAsia="仿宋" w:hAnsi="仿宋" w:cs="Times New Roman" w:hint="eastAsia"/>
          <w:b/>
          <w:kern w:val="2"/>
          <w:sz w:val="32"/>
          <w:szCs w:val="32"/>
        </w:rPr>
        <w:t>（二）部门所属单位预决算公开。</w:t>
      </w:r>
    </w:p>
    <w:p w:rsidR="00000000" w:rsidRDefault="004F7623">
      <w:pPr>
        <w:adjustRightInd w:val="0"/>
        <w:spacing w:line="560" w:lineRule="exact"/>
        <w:ind w:firstLineChars="200" w:firstLine="640"/>
        <w:contextualSpacing/>
        <w:rPr>
          <w:rFonts w:ascii="仿宋" w:eastAsia="仿宋" w:hAnsi="仿宋" w:hint="eastAsia"/>
          <w:sz w:val="32"/>
          <w:szCs w:val="32"/>
        </w:rPr>
      </w:pPr>
      <w:r>
        <w:rPr>
          <w:rFonts w:ascii="仿宋" w:eastAsia="仿宋" w:hAnsi="仿宋" w:hint="eastAsia"/>
          <w:sz w:val="32"/>
          <w:szCs w:val="32"/>
        </w:rPr>
        <w:t>1.</w:t>
      </w:r>
      <w:r>
        <w:rPr>
          <w:rFonts w:ascii="仿宋" w:eastAsia="仿宋" w:hAnsi="仿宋" w:hint="eastAsia"/>
          <w:sz w:val="32"/>
          <w:szCs w:val="32"/>
        </w:rPr>
        <w:t>公开主体：太仓市</w:t>
      </w:r>
      <w:r w:rsidR="00F27A9F">
        <w:rPr>
          <w:rFonts w:ascii="仿宋" w:eastAsia="仿宋" w:hAnsi="仿宋" w:hint="eastAsia"/>
          <w:sz w:val="32"/>
          <w:szCs w:val="32"/>
        </w:rPr>
        <w:t>政法委</w:t>
      </w:r>
      <w:r>
        <w:rPr>
          <w:rFonts w:ascii="仿宋" w:eastAsia="仿宋" w:hAnsi="仿宋" w:hint="eastAsia"/>
          <w:sz w:val="32"/>
          <w:szCs w:val="32"/>
        </w:rPr>
        <w:t>。</w:t>
      </w:r>
    </w:p>
    <w:p w:rsidR="00000000" w:rsidRDefault="004F7623">
      <w:pPr>
        <w:adjustRightInd w:val="0"/>
        <w:spacing w:line="560" w:lineRule="exact"/>
        <w:ind w:firstLineChars="200" w:firstLine="640"/>
        <w:contextualSpacing/>
        <w:rPr>
          <w:rFonts w:ascii="仿宋" w:eastAsia="仿宋" w:hAnsi="仿宋" w:hint="eastAsia"/>
          <w:sz w:val="32"/>
          <w:szCs w:val="32"/>
        </w:rPr>
      </w:pPr>
      <w:r>
        <w:rPr>
          <w:rFonts w:ascii="仿宋" w:eastAsia="仿宋" w:hAnsi="仿宋" w:hint="eastAsia"/>
          <w:sz w:val="32"/>
          <w:szCs w:val="32"/>
        </w:rPr>
        <w:t>2.</w:t>
      </w:r>
      <w:r>
        <w:rPr>
          <w:rFonts w:ascii="仿宋" w:eastAsia="仿宋" w:hAnsi="仿宋" w:hint="eastAsia"/>
          <w:sz w:val="32"/>
          <w:szCs w:val="32"/>
        </w:rPr>
        <w:t>公开时间：在部门预决算批复后</w:t>
      </w:r>
      <w:r>
        <w:rPr>
          <w:rFonts w:ascii="仿宋" w:eastAsia="仿宋" w:hAnsi="仿宋" w:hint="eastAsia"/>
          <w:sz w:val="32"/>
          <w:szCs w:val="32"/>
        </w:rPr>
        <w:t>20</w:t>
      </w:r>
      <w:r>
        <w:rPr>
          <w:rFonts w:ascii="仿宋" w:eastAsia="仿宋" w:hAnsi="仿宋" w:hint="eastAsia"/>
          <w:sz w:val="32"/>
          <w:szCs w:val="32"/>
        </w:rPr>
        <w:t>日内公开。</w:t>
      </w:r>
    </w:p>
    <w:p w:rsidR="00000000" w:rsidRDefault="004F7623">
      <w:pPr>
        <w:adjustRightInd w:val="0"/>
        <w:spacing w:line="560" w:lineRule="exact"/>
        <w:ind w:firstLineChars="200" w:firstLine="640"/>
        <w:contextualSpacing/>
        <w:rPr>
          <w:rFonts w:ascii="仿宋" w:eastAsia="仿宋" w:hAnsi="仿宋" w:hint="eastAsia"/>
          <w:sz w:val="32"/>
          <w:szCs w:val="32"/>
        </w:rPr>
      </w:pPr>
      <w:r>
        <w:rPr>
          <w:rFonts w:ascii="仿宋" w:eastAsia="仿宋" w:hAnsi="仿宋" w:hint="eastAsia"/>
          <w:sz w:val="32"/>
          <w:szCs w:val="32"/>
        </w:rPr>
        <w:t>3.</w:t>
      </w:r>
      <w:r>
        <w:rPr>
          <w:rFonts w:ascii="仿宋" w:eastAsia="仿宋" w:hAnsi="仿宋" w:hint="eastAsia"/>
          <w:sz w:val="32"/>
          <w:szCs w:val="32"/>
        </w:rPr>
        <w:t>公开方式：江苏省预决算公开统一平台——部门预决算公开专栏公开</w:t>
      </w:r>
      <w:r>
        <w:rPr>
          <w:rFonts w:ascii="仿宋" w:eastAsia="仿宋" w:hAnsi="仿宋" w:hint="eastAsia"/>
          <w:sz w:val="32"/>
          <w:szCs w:val="32"/>
        </w:rPr>
        <w:t>。</w:t>
      </w:r>
    </w:p>
    <w:p w:rsidR="00000000" w:rsidRDefault="004F7623">
      <w:pPr>
        <w:adjustRightInd w:val="0"/>
        <w:spacing w:line="560" w:lineRule="exact"/>
        <w:ind w:firstLineChars="200" w:firstLine="640"/>
        <w:contextualSpacing/>
        <w:rPr>
          <w:rFonts w:ascii="仿宋" w:eastAsia="仿宋" w:hAnsi="仿宋" w:hint="eastAsia"/>
          <w:sz w:val="32"/>
          <w:szCs w:val="32"/>
        </w:rPr>
      </w:pPr>
      <w:r>
        <w:rPr>
          <w:rFonts w:ascii="仿宋" w:eastAsia="仿宋" w:hAnsi="仿宋" w:hint="eastAsia"/>
          <w:sz w:val="32"/>
          <w:szCs w:val="32"/>
        </w:rPr>
        <w:t>4.</w:t>
      </w:r>
      <w:r>
        <w:rPr>
          <w:rFonts w:ascii="仿宋" w:eastAsia="仿宋" w:hAnsi="仿宋" w:hint="eastAsia"/>
          <w:sz w:val="32"/>
          <w:szCs w:val="32"/>
        </w:rPr>
        <w:t>公开内容：</w:t>
      </w:r>
    </w:p>
    <w:p w:rsidR="00000000" w:rsidRDefault="004F7623">
      <w:pPr>
        <w:adjustRightInd w:val="0"/>
        <w:spacing w:line="560" w:lineRule="exact"/>
        <w:ind w:firstLineChars="200" w:firstLine="640"/>
        <w:contextualSpacing/>
        <w:rPr>
          <w:rFonts w:ascii="仿宋" w:eastAsia="仿宋" w:hAnsi="仿宋" w:hint="eastAsia"/>
          <w:sz w:val="32"/>
          <w:szCs w:val="32"/>
        </w:rPr>
      </w:pPr>
      <w:r>
        <w:rPr>
          <w:rFonts w:ascii="仿宋" w:eastAsia="仿宋" w:hAnsi="仿宋" w:hint="eastAsia"/>
          <w:sz w:val="32"/>
          <w:szCs w:val="32"/>
        </w:rPr>
        <w:t>部门所属单位预决算公开的内容为部门批复的单位预算、决算及报表，涉及国家秘密的除外。具体可参照部门预决算公开内容和报表格式，并与部门预决算公开的相关内容做好衔接。</w:t>
      </w:r>
    </w:p>
    <w:p w:rsidR="00000000" w:rsidRDefault="004F7623">
      <w:pPr>
        <w:adjustRightInd w:val="0"/>
        <w:spacing w:line="560" w:lineRule="exact"/>
        <w:ind w:firstLineChars="200" w:firstLine="640"/>
        <w:contextualSpacing/>
        <w:rPr>
          <w:rFonts w:ascii="仿宋" w:eastAsia="仿宋" w:hAnsi="仿宋" w:hint="eastAsia"/>
          <w:sz w:val="32"/>
          <w:szCs w:val="32"/>
        </w:rPr>
      </w:pPr>
      <w:r>
        <w:rPr>
          <w:rFonts w:ascii="仿宋" w:eastAsia="仿宋" w:hAnsi="仿宋" w:hint="eastAsia"/>
          <w:sz w:val="32"/>
          <w:szCs w:val="32"/>
        </w:rPr>
        <w:t>单位预算、决算应该公开基本支出和项目支出；单位预算、决算支出按其功能分类应该公开到项，按其经济性质分类，基本支出应当公开到款。</w:t>
      </w:r>
    </w:p>
    <w:p w:rsidR="00000000" w:rsidRDefault="004F7623">
      <w:pPr>
        <w:adjustRightInd w:val="0"/>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单位在公开预决算时，要对本单位职责及机构设置情况、预决算收支增减变化、机关运行经费安排、“三公”经费、政府采购等重点事项作出说明，结合工作进展情况逐步公开国有资</w:t>
      </w:r>
      <w:r>
        <w:rPr>
          <w:rFonts w:ascii="仿宋" w:eastAsia="仿宋" w:hAnsi="仿宋" w:hint="eastAsia"/>
          <w:sz w:val="32"/>
          <w:szCs w:val="32"/>
        </w:rPr>
        <w:lastRenderedPageBreak/>
        <w:t>产占用、预算绩效管理等情况。</w:t>
      </w:r>
    </w:p>
    <w:p w:rsidR="00000000" w:rsidRDefault="004F7623">
      <w:pPr>
        <w:pStyle w:val="a6"/>
        <w:shd w:val="clear" w:color="auto" w:fill="FFFFFF"/>
        <w:spacing w:before="0" w:beforeAutospacing="0" w:after="0" w:afterAutospacing="0" w:line="560" w:lineRule="exact"/>
        <w:ind w:firstLineChars="200" w:firstLine="643"/>
        <w:jc w:val="both"/>
        <w:rPr>
          <w:rFonts w:ascii="仿宋" w:eastAsia="仿宋" w:hAnsi="仿宋" w:cs="Times New Roman"/>
          <w:b/>
          <w:kern w:val="2"/>
          <w:sz w:val="32"/>
          <w:szCs w:val="32"/>
        </w:rPr>
      </w:pPr>
      <w:r>
        <w:rPr>
          <w:rFonts w:ascii="仿宋" w:eastAsia="仿宋" w:hAnsi="仿宋" w:cs="Times New Roman" w:hint="eastAsia"/>
          <w:b/>
          <w:kern w:val="2"/>
          <w:sz w:val="32"/>
          <w:szCs w:val="32"/>
        </w:rPr>
        <w:t>（三）</w:t>
      </w:r>
      <w:r>
        <w:rPr>
          <w:rFonts w:ascii="仿宋" w:eastAsia="仿宋" w:hAnsi="仿宋" w:cs="Times New Roman"/>
          <w:b/>
          <w:kern w:val="2"/>
          <w:sz w:val="32"/>
          <w:szCs w:val="32"/>
        </w:rPr>
        <w:t>公开专</w:t>
      </w:r>
      <w:r>
        <w:rPr>
          <w:rFonts w:ascii="仿宋" w:eastAsia="仿宋" w:hAnsi="仿宋" w:cs="Times New Roman"/>
          <w:b/>
          <w:kern w:val="2"/>
          <w:sz w:val="32"/>
          <w:szCs w:val="32"/>
        </w:rPr>
        <w:t>项资金分配等信息</w:t>
      </w:r>
      <w:r>
        <w:rPr>
          <w:rFonts w:ascii="仿宋" w:eastAsia="仿宋" w:hAnsi="仿宋" w:cs="Times New Roman" w:hint="eastAsia"/>
          <w:b/>
          <w:kern w:val="2"/>
          <w:sz w:val="32"/>
          <w:szCs w:val="32"/>
        </w:rPr>
        <w:t>（涉密项目除外）</w:t>
      </w:r>
      <w:r>
        <w:rPr>
          <w:rFonts w:ascii="仿宋" w:eastAsia="仿宋" w:hAnsi="仿宋" w:cs="Times New Roman"/>
          <w:b/>
          <w:kern w:val="2"/>
          <w:sz w:val="32"/>
          <w:szCs w:val="32"/>
        </w:rPr>
        <w:t>。</w:t>
      </w:r>
    </w:p>
    <w:p w:rsidR="00000000" w:rsidRDefault="004F7623">
      <w:pPr>
        <w:pStyle w:val="a6"/>
        <w:shd w:val="clear" w:color="auto" w:fill="FFFFFF"/>
        <w:spacing w:before="0" w:beforeAutospacing="0" w:after="0" w:afterAutospacing="0" w:line="560" w:lineRule="exact"/>
        <w:ind w:firstLineChars="200" w:firstLine="640"/>
        <w:jc w:val="both"/>
        <w:rPr>
          <w:rFonts w:ascii="仿宋" w:eastAsia="仿宋" w:hAnsi="仿宋" w:cs="Times New Roman" w:hint="eastAsia"/>
          <w:kern w:val="2"/>
          <w:sz w:val="32"/>
          <w:szCs w:val="32"/>
        </w:rPr>
      </w:pPr>
      <w:r>
        <w:rPr>
          <w:rFonts w:ascii="仿宋" w:eastAsia="仿宋" w:hAnsi="仿宋" w:cs="Times New Roman"/>
          <w:kern w:val="2"/>
          <w:sz w:val="32"/>
          <w:szCs w:val="32"/>
        </w:rPr>
        <w:t>（</w:t>
      </w:r>
      <w:r>
        <w:rPr>
          <w:rFonts w:ascii="仿宋" w:eastAsia="仿宋" w:hAnsi="仿宋" w:cs="Times New Roman" w:hint="eastAsia"/>
          <w:kern w:val="2"/>
          <w:sz w:val="32"/>
          <w:szCs w:val="32"/>
        </w:rPr>
        <w:t>1</w:t>
      </w:r>
      <w:r>
        <w:rPr>
          <w:rFonts w:ascii="仿宋" w:eastAsia="仿宋" w:hAnsi="仿宋" w:cs="Times New Roman"/>
          <w:kern w:val="2"/>
          <w:sz w:val="32"/>
          <w:szCs w:val="32"/>
        </w:rPr>
        <w:t>）</w:t>
      </w:r>
      <w:r>
        <w:rPr>
          <w:rFonts w:ascii="仿宋" w:eastAsia="仿宋" w:hAnsi="仿宋" w:cs="Times New Roman" w:hint="eastAsia"/>
          <w:kern w:val="2"/>
          <w:sz w:val="32"/>
          <w:szCs w:val="32"/>
        </w:rPr>
        <w:t>公开主体：</w:t>
      </w:r>
      <w:r>
        <w:rPr>
          <w:rFonts w:ascii="仿宋" w:eastAsia="仿宋" w:hAnsi="仿宋" w:hint="eastAsia"/>
          <w:sz w:val="32"/>
          <w:szCs w:val="32"/>
        </w:rPr>
        <w:t>太仓市</w:t>
      </w:r>
      <w:r w:rsidR="00F27A9F">
        <w:rPr>
          <w:rFonts w:ascii="仿宋" w:eastAsia="仿宋" w:hAnsi="仿宋" w:hint="eastAsia"/>
          <w:sz w:val="32"/>
          <w:szCs w:val="32"/>
        </w:rPr>
        <w:t>政法委</w:t>
      </w:r>
      <w:r>
        <w:rPr>
          <w:rFonts w:ascii="仿宋" w:eastAsia="仿宋" w:hAnsi="仿宋" w:hint="eastAsia"/>
          <w:sz w:val="32"/>
          <w:szCs w:val="32"/>
        </w:rPr>
        <w:t>。</w:t>
      </w:r>
    </w:p>
    <w:p w:rsidR="00000000" w:rsidRDefault="004F7623">
      <w:pPr>
        <w:pStyle w:val="a6"/>
        <w:shd w:val="clear" w:color="auto" w:fill="FFFFFF"/>
        <w:spacing w:before="0" w:beforeAutospacing="0" w:after="0" w:afterAutospacing="0" w:line="56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w:t>
      </w:r>
      <w:r>
        <w:rPr>
          <w:rFonts w:ascii="仿宋" w:eastAsia="仿宋" w:hAnsi="仿宋" w:cs="Times New Roman" w:hint="eastAsia"/>
          <w:kern w:val="2"/>
          <w:sz w:val="32"/>
          <w:szCs w:val="32"/>
        </w:rPr>
        <w:t>2</w:t>
      </w:r>
      <w:r>
        <w:rPr>
          <w:rFonts w:ascii="仿宋" w:eastAsia="仿宋" w:hAnsi="仿宋" w:cs="Times New Roman" w:hint="eastAsia"/>
          <w:kern w:val="2"/>
          <w:sz w:val="32"/>
          <w:szCs w:val="32"/>
        </w:rPr>
        <w:t>）</w:t>
      </w:r>
      <w:r>
        <w:rPr>
          <w:rFonts w:ascii="仿宋" w:eastAsia="仿宋" w:hAnsi="仿宋" w:cs="Times New Roman"/>
          <w:kern w:val="2"/>
          <w:sz w:val="32"/>
          <w:szCs w:val="32"/>
        </w:rPr>
        <w:t>公开时间：根据资金分配流程及时公开。</w:t>
      </w:r>
    </w:p>
    <w:p w:rsidR="00000000" w:rsidRDefault="004F7623">
      <w:pPr>
        <w:pStyle w:val="a6"/>
        <w:shd w:val="clear" w:color="auto" w:fill="FFFFFF"/>
        <w:spacing w:before="0" w:beforeAutospacing="0" w:after="0" w:afterAutospacing="0" w:line="560" w:lineRule="exact"/>
        <w:ind w:firstLineChars="200" w:firstLine="640"/>
        <w:jc w:val="both"/>
        <w:rPr>
          <w:rFonts w:ascii="仿宋" w:eastAsia="仿宋" w:hAnsi="仿宋" w:cs="Times New Roman"/>
          <w:kern w:val="2"/>
          <w:sz w:val="32"/>
          <w:szCs w:val="32"/>
        </w:rPr>
      </w:pPr>
      <w:r>
        <w:rPr>
          <w:rFonts w:ascii="仿宋" w:eastAsia="仿宋" w:hAnsi="仿宋" w:cs="Times New Roman"/>
          <w:kern w:val="2"/>
          <w:sz w:val="32"/>
          <w:szCs w:val="32"/>
        </w:rPr>
        <w:t>（</w:t>
      </w:r>
      <w:r>
        <w:rPr>
          <w:rFonts w:ascii="仿宋" w:eastAsia="仿宋" w:hAnsi="仿宋" w:cs="Times New Roman" w:hint="eastAsia"/>
          <w:kern w:val="2"/>
          <w:sz w:val="32"/>
          <w:szCs w:val="32"/>
        </w:rPr>
        <w:t>3</w:t>
      </w:r>
      <w:r>
        <w:rPr>
          <w:rFonts w:ascii="仿宋" w:eastAsia="仿宋" w:hAnsi="仿宋" w:cs="Times New Roman"/>
          <w:kern w:val="2"/>
          <w:sz w:val="32"/>
          <w:szCs w:val="32"/>
        </w:rPr>
        <w:t>）公开方式：</w:t>
      </w:r>
      <w:r>
        <w:rPr>
          <w:rFonts w:ascii="仿宋" w:eastAsia="仿宋" w:hAnsi="仿宋" w:cs="Times New Roman" w:hint="eastAsia"/>
          <w:kern w:val="2"/>
          <w:sz w:val="32"/>
          <w:szCs w:val="32"/>
        </w:rPr>
        <w:t>“江苏省预决算公开统一平台”——</w:t>
      </w:r>
      <w:r>
        <w:rPr>
          <w:rFonts w:ascii="仿宋" w:eastAsia="仿宋" w:hAnsi="仿宋" w:hint="eastAsia"/>
          <w:sz w:val="32"/>
          <w:szCs w:val="32"/>
        </w:rPr>
        <w:t>部门</w:t>
      </w:r>
      <w:r>
        <w:rPr>
          <w:rFonts w:ascii="仿宋" w:eastAsia="仿宋" w:hAnsi="仿宋" w:cs="Times New Roman" w:hint="eastAsia"/>
          <w:color w:val="000000"/>
          <w:kern w:val="2"/>
          <w:sz w:val="32"/>
          <w:szCs w:val="32"/>
        </w:rPr>
        <w:t>专项资金</w:t>
      </w:r>
      <w:r>
        <w:rPr>
          <w:rFonts w:ascii="仿宋" w:eastAsia="仿宋" w:hAnsi="仿宋" w:cs="Times New Roman"/>
          <w:kern w:val="2"/>
          <w:sz w:val="32"/>
          <w:szCs w:val="32"/>
        </w:rPr>
        <w:t>公开专栏公开。</w:t>
      </w:r>
    </w:p>
    <w:p w:rsidR="00000000" w:rsidRDefault="004F7623">
      <w:pPr>
        <w:adjustRightInd w:val="0"/>
        <w:spacing w:line="550" w:lineRule="exact"/>
        <w:ind w:firstLineChars="200" w:firstLine="640"/>
        <w:rPr>
          <w:rFonts w:ascii="仿宋" w:eastAsia="仿宋" w:hAnsi="仿宋" w:hint="eastAsia"/>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）公开内容：纳入</w:t>
      </w:r>
      <w:r>
        <w:rPr>
          <w:rFonts w:ascii="仿宋" w:eastAsia="仿宋" w:hAnsi="仿宋" w:hint="eastAsia"/>
          <w:sz w:val="32"/>
          <w:szCs w:val="32"/>
        </w:rPr>
        <w:t>本</w:t>
      </w:r>
      <w:r>
        <w:rPr>
          <w:rFonts w:ascii="仿宋" w:eastAsia="仿宋" w:hAnsi="仿宋"/>
          <w:sz w:val="32"/>
          <w:szCs w:val="32"/>
        </w:rPr>
        <w:t>级政府部门专项资金管理清单的专项资金，都应公开相关资金分配等信息。对于实行因素法分配的项目，主管部门应及时公开分配因素、权重及分配结果；对于实行申报制的项目，主管部门应公开项目申报指南，分配结果等；其他项目也应该及时公开分配结果。</w:t>
      </w:r>
    </w:p>
    <w:p w:rsidR="00000000" w:rsidRDefault="004F7623">
      <w:pPr>
        <w:spacing w:line="560" w:lineRule="exact"/>
        <w:ind w:firstLineChars="200" w:firstLine="643"/>
        <w:rPr>
          <w:rFonts w:ascii="仿宋" w:eastAsia="仿宋" w:hAnsi="仿宋"/>
          <w:b/>
          <w:sz w:val="32"/>
          <w:szCs w:val="32"/>
        </w:rPr>
      </w:pPr>
      <w:r>
        <w:rPr>
          <w:rFonts w:ascii="仿宋" w:eastAsia="仿宋" w:hAnsi="仿宋"/>
          <w:b/>
          <w:sz w:val="32"/>
          <w:szCs w:val="32"/>
        </w:rPr>
        <w:t>（</w:t>
      </w:r>
      <w:r>
        <w:rPr>
          <w:rFonts w:ascii="仿宋" w:eastAsia="仿宋" w:hAnsi="仿宋" w:hint="eastAsia"/>
          <w:b/>
          <w:sz w:val="32"/>
          <w:szCs w:val="32"/>
        </w:rPr>
        <w:t>四</w:t>
      </w:r>
      <w:r>
        <w:rPr>
          <w:rFonts w:ascii="仿宋" w:eastAsia="仿宋" w:hAnsi="仿宋"/>
          <w:b/>
          <w:sz w:val="32"/>
          <w:szCs w:val="32"/>
        </w:rPr>
        <w:t>）</w:t>
      </w:r>
      <w:r>
        <w:rPr>
          <w:rFonts w:ascii="仿宋" w:eastAsia="仿宋" w:hAnsi="仿宋" w:hint="eastAsia"/>
          <w:b/>
          <w:sz w:val="32"/>
          <w:szCs w:val="32"/>
        </w:rPr>
        <w:t>部门</w:t>
      </w:r>
      <w:r>
        <w:rPr>
          <w:rFonts w:ascii="仿宋" w:eastAsia="仿宋" w:hAnsi="仿宋"/>
          <w:b/>
          <w:sz w:val="32"/>
          <w:szCs w:val="32"/>
        </w:rPr>
        <w:t>政府采购信息公开（涉密项目除外）。</w:t>
      </w:r>
    </w:p>
    <w:p w:rsidR="00000000" w:rsidRDefault="004F7623">
      <w:pPr>
        <w:spacing w:line="560" w:lineRule="exact"/>
        <w:ind w:firstLineChars="200" w:firstLine="640"/>
        <w:rPr>
          <w:rFonts w:ascii="仿宋" w:eastAsia="仿宋" w:hAnsi="仿宋" w:hint="eastAsia"/>
          <w:sz w:val="32"/>
          <w:szCs w:val="32"/>
        </w:rPr>
      </w:pPr>
      <w:r>
        <w:rPr>
          <w:rFonts w:ascii="仿宋" w:eastAsia="仿宋" w:hAnsi="仿宋"/>
          <w:sz w:val="32"/>
          <w:szCs w:val="32"/>
        </w:rPr>
        <w:t>（</w:t>
      </w: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公开</w:t>
      </w:r>
      <w:r>
        <w:rPr>
          <w:rFonts w:ascii="仿宋" w:eastAsia="仿宋" w:hAnsi="仿宋" w:hint="eastAsia"/>
          <w:sz w:val="32"/>
          <w:szCs w:val="32"/>
        </w:rPr>
        <w:t>主体：太仓市</w:t>
      </w:r>
      <w:r w:rsidR="00F27A9F">
        <w:rPr>
          <w:rFonts w:ascii="仿宋" w:eastAsia="仿宋" w:hAnsi="仿宋" w:hint="eastAsia"/>
          <w:sz w:val="32"/>
          <w:szCs w:val="32"/>
        </w:rPr>
        <w:t>政法委</w:t>
      </w:r>
      <w:r>
        <w:rPr>
          <w:rFonts w:ascii="仿宋" w:eastAsia="仿宋" w:hAnsi="仿宋" w:hint="eastAsia"/>
          <w:sz w:val="32"/>
          <w:szCs w:val="32"/>
        </w:rPr>
        <w:t>。</w:t>
      </w:r>
      <w:r>
        <w:rPr>
          <w:rFonts w:ascii="仿宋" w:eastAsia="仿宋" w:hAnsi="仿宋" w:hint="eastAsia"/>
          <w:sz w:val="32"/>
          <w:szCs w:val="32"/>
        </w:rPr>
        <w:t xml:space="preserve">       </w:t>
      </w:r>
    </w:p>
    <w:p w:rsidR="00000000" w:rsidRDefault="004F7623">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sz w:val="32"/>
          <w:szCs w:val="32"/>
        </w:rPr>
        <w:t>公开时间：</w:t>
      </w:r>
      <w:r>
        <w:rPr>
          <w:rFonts w:ascii="仿宋" w:eastAsia="仿宋" w:hAnsi="仿宋" w:hint="eastAsia"/>
          <w:sz w:val="32"/>
          <w:szCs w:val="32"/>
        </w:rPr>
        <w:t>按采购进程及时公开。</w:t>
      </w:r>
    </w:p>
    <w:p w:rsidR="00000000" w:rsidRDefault="004F7623">
      <w:pPr>
        <w:pStyle w:val="a6"/>
        <w:shd w:val="clear" w:color="auto" w:fill="FFFFFF"/>
        <w:spacing w:before="0" w:beforeAutospacing="0" w:after="0" w:afterAutospacing="0" w:line="560" w:lineRule="exact"/>
        <w:ind w:firstLineChars="200" w:firstLine="640"/>
        <w:jc w:val="both"/>
        <w:rPr>
          <w:rFonts w:ascii="仿宋" w:eastAsia="仿宋" w:hAnsi="仿宋" w:cs="Times New Roman"/>
          <w:kern w:val="2"/>
          <w:sz w:val="32"/>
          <w:szCs w:val="32"/>
        </w:rPr>
      </w:pPr>
      <w:r>
        <w:rPr>
          <w:rFonts w:ascii="仿宋" w:eastAsia="仿宋" w:hAnsi="仿宋"/>
          <w:sz w:val="32"/>
          <w:szCs w:val="32"/>
        </w:rPr>
        <w:t>（</w:t>
      </w:r>
      <w:r>
        <w:rPr>
          <w:rFonts w:ascii="仿宋" w:eastAsia="仿宋" w:hAnsi="仿宋" w:hint="eastAsia"/>
          <w:sz w:val="32"/>
          <w:szCs w:val="32"/>
        </w:rPr>
        <w:t>3</w:t>
      </w:r>
      <w:r>
        <w:rPr>
          <w:rFonts w:ascii="仿宋" w:eastAsia="仿宋" w:hAnsi="仿宋"/>
          <w:sz w:val="32"/>
          <w:szCs w:val="32"/>
        </w:rPr>
        <w:t>）公开方式：</w:t>
      </w:r>
      <w:r>
        <w:rPr>
          <w:rFonts w:ascii="仿宋" w:eastAsia="仿宋" w:hAnsi="仿宋" w:hint="eastAsia"/>
          <w:sz w:val="32"/>
          <w:szCs w:val="32"/>
        </w:rPr>
        <w:t>苏州市政府采购网公开。</w:t>
      </w:r>
    </w:p>
    <w:p w:rsidR="00000000" w:rsidRDefault="004F7623">
      <w:pPr>
        <w:adjustRightInd w:val="0"/>
        <w:spacing w:line="55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）公开内容：</w:t>
      </w:r>
      <w:r>
        <w:rPr>
          <w:rFonts w:ascii="仿宋" w:eastAsia="仿宋" w:hAnsi="仿宋" w:hint="eastAsia"/>
          <w:sz w:val="32"/>
          <w:szCs w:val="32"/>
        </w:rPr>
        <w:t>部门政府采购项目信息及法律、法规、规章规定应当公开的政府采购信息。按照</w:t>
      </w:r>
      <w:r>
        <w:rPr>
          <w:rFonts w:ascii="仿宋" w:eastAsia="仿宋" w:hAnsi="仿宋"/>
          <w:sz w:val="32"/>
          <w:szCs w:val="32"/>
        </w:rPr>
        <w:t>《转发财政部关于进一步做好政府采购信息公开工作有关事项的通知》（苏财购〔</w:t>
      </w:r>
      <w:r>
        <w:rPr>
          <w:rFonts w:ascii="仿宋" w:eastAsia="仿宋" w:hAnsi="仿宋"/>
          <w:sz w:val="32"/>
          <w:szCs w:val="32"/>
        </w:rPr>
        <w:t>2017</w:t>
      </w:r>
      <w:r>
        <w:rPr>
          <w:rFonts w:ascii="仿宋" w:eastAsia="仿宋" w:hAnsi="仿宋"/>
          <w:sz w:val="32"/>
          <w:szCs w:val="32"/>
        </w:rPr>
        <w:t>〕</w:t>
      </w:r>
      <w:r>
        <w:rPr>
          <w:rFonts w:ascii="仿宋" w:eastAsia="仿宋" w:hAnsi="仿宋"/>
          <w:sz w:val="32"/>
          <w:szCs w:val="32"/>
        </w:rPr>
        <w:t>50</w:t>
      </w:r>
      <w:r>
        <w:rPr>
          <w:rFonts w:ascii="仿宋" w:eastAsia="仿宋" w:hAnsi="仿宋"/>
          <w:sz w:val="32"/>
          <w:szCs w:val="32"/>
        </w:rPr>
        <w:t>号）</w:t>
      </w:r>
      <w:r>
        <w:rPr>
          <w:rFonts w:ascii="仿宋" w:eastAsia="仿宋" w:hAnsi="仿宋" w:hint="eastAsia"/>
          <w:sz w:val="32"/>
          <w:szCs w:val="32"/>
        </w:rPr>
        <w:t>要求，做好采购项目信息及法律、法规、规章规定应当公开的政府采购信息公开。在采购活动开始前，在采购公告中公开项目采购预算，采购尚未确定项目预算金额的，可不公开具体预算金额；采购活动完成后，公开采购文件、中标、成</w:t>
      </w:r>
      <w:r>
        <w:rPr>
          <w:rFonts w:ascii="仿宋" w:eastAsia="仿宋" w:hAnsi="仿宋" w:hint="eastAsia"/>
          <w:sz w:val="32"/>
          <w:szCs w:val="32"/>
        </w:rPr>
        <w:t>交结果和政府采购合同。</w:t>
      </w:r>
    </w:p>
    <w:p w:rsidR="00000000" w:rsidRDefault="004F7623">
      <w:pPr>
        <w:spacing w:line="550" w:lineRule="exact"/>
        <w:ind w:firstLineChars="200" w:firstLine="643"/>
        <w:rPr>
          <w:rFonts w:ascii="仿宋" w:eastAsia="仿宋" w:hAnsi="仿宋" w:hint="eastAsia"/>
          <w:b/>
          <w:sz w:val="32"/>
          <w:szCs w:val="32"/>
        </w:rPr>
      </w:pPr>
      <w:r>
        <w:rPr>
          <w:rFonts w:ascii="仿宋" w:eastAsia="仿宋" w:hAnsi="仿宋"/>
          <w:b/>
          <w:sz w:val="32"/>
          <w:szCs w:val="32"/>
        </w:rPr>
        <w:lastRenderedPageBreak/>
        <w:t>（</w:t>
      </w:r>
      <w:r>
        <w:rPr>
          <w:rFonts w:ascii="仿宋" w:eastAsia="仿宋" w:hAnsi="仿宋" w:hint="eastAsia"/>
          <w:b/>
          <w:sz w:val="32"/>
          <w:szCs w:val="32"/>
        </w:rPr>
        <w:t>五</w:t>
      </w:r>
      <w:r>
        <w:rPr>
          <w:rFonts w:ascii="仿宋" w:eastAsia="仿宋" w:hAnsi="仿宋"/>
          <w:b/>
          <w:sz w:val="32"/>
          <w:szCs w:val="32"/>
        </w:rPr>
        <w:t>）</w:t>
      </w:r>
      <w:r>
        <w:rPr>
          <w:rFonts w:ascii="仿宋" w:eastAsia="仿宋" w:hAnsi="仿宋" w:hint="eastAsia"/>
          <w:b/>
          <w:sz w:val="32"/>
          <w:szCs w:val="32"/>
        </w:rPr>
        <w:t>预算绩效信息公开</w:t>
      </w:r>
    </w:p>
    <w:p w:rsidR="00000000" w:rsidRDefault="004F7623">
      <w:pPr>
        <w:pStyle w:val="a6"/>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）公开主体：太仓市</w:t>
      </w:r>
      <w:r w:rsidR="00F27A9F">
        <w:rPr>
          <w:rFonts w:ascii="仿宋" w:eastAsia="仿宋" w:hAnsi="仿宋" w:hint="eastAsia"/>
          <w:sz w:val="32"/>
          <w:szCs w:val="32"/>
        </w:rPr>
        <w:t>政法委。</w:t>
      </w:r>
    </w:p>
    <w:p w:rsidR="00000000" w:rsidRDefault="004F7623">
      <w:pPr>
        <w:pStyle w:val="a6"/>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）公开时间：部门在公开部门预算时同步公开预算绩效目标，在公开部门决算时同步公开绩效评价结果。</w:t>
      </w:r>
    </w:p>
    <w:p w:rsidR="00000000" w:rsidRDefault="004F7623">
      <w:pPr>
        <w:pStyle w:val="a6"/>
        <w:shd w:val="clear" w:color="auto" w:fill="FFFFFF"/>
        <w:spacing w:before="0" w:beforeAutospacing="0" w:after="0" w:afterAutospacing="0" w:line="560" w:lineRule="exact"/>
        <w:ind w:firstLineChars="200" w:firstLine="640"/>
        <w:jc w:val="both"/>
        <w:rPr>
          <w:rFonts w:ascii="仿宋" w:eastAsia="仿宋" w:hAnsi="仿宋" w:hint="eastAsia"/>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）公开方式：江苏省预决算公开统一平台——部门绩效信息公开专栏公开。</w:t>
      </w:r>
    </w:p>
    <w:p w:rsidR="00000000" w:rsidRDefault="004F7623">
      <w:pPr>
        <w:pStyle w:val="a6"/>
        <w:shd w:val="clear" w:color="auto" w:fill="FFFFFF"/>
        <w:spacing w:before="0" w:beforeAutospacing="0" w:after="0" w:afterAutospacing="0" w:line="56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w:t>
      </w:r>
      <w:r>
        <w:rPr>
          <w:rFonts w:ascii="仿宋" w:eastAsia="仿宋" w:hAnsi="仿宋" w:cs="Times New Roman" w:hint="eastAsia"/>
          <w:kern w:val="2"/>
          <w:sz w:val="32"/>
          <w:szCs w:val="32"/>
        </w:rPr>
        <w:t>4</w:t>
      </w:r>
      <w:r>
        <w:rPr>
          <w:rFonts w:ascii="仿宋" w:eastAsia="仿宋" w:hAnsi="仿宋" w:cs="Times New Roman" w:hint="eastAsia"/>
          <w:kern w:val="2"/>
          <w:sz w:val="32"/>
          <w:szCs w:val="32"/>
        </w:rPr>
        <w:t>）公开内容：除在部门预决算中公开相关预算绩效情况外。试点绩效公开的部门，应按以下要求进行公开：预算绩效目标公开应包括项目基本信息、项目绩效目标、项目绩效评价指标内容与目标值（即按绩效目标申报表表式内容公开）。绩效评价结果公开应包括项目基本情况、绩效评价组织实施</w:t>
      </w:r>
      <w:r>
        <w:rPr>
          <w:rFonts w:ascii="仿宋" w:eastAsia="仿宋" w:hAnsi="仿宋" w:cs="Times New Roman" w:hint="eastAsia"/>
          <w:kern w:val="2"/>
          <w:sz w:val="32"/>
          <w:szCs w:val="32"/>
        </w:rPr>
        <w:t>情况、绩效评价结论、存在的问题和政策建议等（即按绩效评价报告撰写提纲格式内容公开）。</w:t>
      </w:r>
    </w:p>
    <w:p w:rsidR="00000000" w:rsidRDefault="004F7623">
      <w:pPr>
        <w:pStyle w:val="a6"/>
        <w:shd w:val="clear" w:color="auto" w:fill="FFFFFF"/>
        <w:spacing w:before="0" w:beforeAutospacing="0" w:after="0" w:afterAutospacing="0" w:line="560" w:lineRule="exact"/>
        <w:ind w:firstLineChars="200" w:firstLine="643"/>
        <w:jc w:val="both"/>
        <w:rPr>
          <w:rFonts w:ascii="仿宋" w:eastAsia="仿宋" w:hAnsi="仿宋" w:cs="Times New Roman" w:hint="eastAsia"/>
          <w:b/>
          <w:kern w:val="2"/>
          <w:sz w:val="32"/>
          <w:szCs w:val="32"/>
        </w:rPr>
      </w:pPr>
      <w:r>
        <w:rPr>
          <w:rFonts w:ascii="仿宋" w:eastAsia="仿宋" w:hAnsi="仿宋" w:cs="Times New Roman"/>
          <w:b/>
          <w:kern w:val="2"/>
          <w:sz w:val="32"/>
          <w:szCs w:val="32"/>
        </w:rPr>
        <w:t>（</w:t>
      </w:r>
      <w:r>
        <w:rPr>
          <w:rFonts w:ascii="仿宋" w:eastAsia="仿宋" w:hAnsi="仿宋" w:cs="Times New Roman" w:hint="eastAsia"/>
          <w:b/>
          <w:kern w:val="2"/>
          <w:sz w:val="32"/>
          <w:szCs w:val="32"/>
        </w:rPr>
        <w:t>六</w:t>
      </w:r>
      <w:r>
        <w:rPr>
          <w:rFonts w:ascii="仿宋" w:eastAsia="仿宋" w:hAnsi="仿宋" w:cs="Times New Roman"/>
          <w:b/>
          <w:kern w:val="2"/>
          <w:sz w:val="32"/>
          <w:szCs w:val="32"/>
        </w:rPr>
        <w:t>）资产管理信息公开</w:t>
      </w:r>
    </w:p>
    <w:p w:rsidR="00000000" w:rsidRDefault="004F7623">
      <w:pPr>
        <w:pStyle w:val="a6"/>
        <w:shd w:val="clear" w:color="auto" w:fill="FFFFFF"/>
        <w:spacing w:before="0" w:beforeAutospacing="0" w:after="0" w:afterAutospacing="0" w:line="560" w:lineRule="exact"/>
        <w:ind w:firstLineChars="200" w:firstLine="640"/>
        <w:jc w:val="both"/>
        <w:rPr>
          <w:rFonts w:ascii="仿宋" w:eastAsia="仿宋" w:hAnsi="仿宋" w:cs="Times New Roman" w:hint="eastAsia"/>
          <w:kern w:val="2"/>
          <w:sz w:val="32"/>
          <w:szCs w:val="32"/>
        </w:rPr>
      </w:pPr>
      <w:r>
        <w:rPr>
          <w:rFonts w:ascii="仿宋" w:eastAsia="仿宋" w:hAnsi="仿宋" w:cs="Times New Roman" w:hint="eastAsia"/>
          <w:kern w:val="2"/>
          <w:sz w:val="32"/>
          <w:szCs w:val="32"/>
        </w:rPr>
        <w:t>（</w:t>
      </w:r>
      <w:r>
        <w:rPr>
          <w:rFonts w:ascii="仿宋" w:eastAsia="仿宋" w:hAnsi="仿宋" w:cs="Times New Roman" w:hint="eastAsia"/>
          <w:kern w:val="2"/>
          <w:sz w:val="32"/>
          <w:szCs w:val="32"/>
        </w:rPr>
        <w:t>1</w:t>
      </w:r>
      <w:r>
        <w:rPr>
          <w:rFonts w:ascii="仿宋" w:eastAsia="仿宋" w:hAnsi="仿宋" w:cs="Times New Roman" w:hint="eastAsia"/>
          <w:kern w:val="2"/>
          <w:sz w:val="32"/>
          <w:szCs w:val="32"/>
        </w:rPr>
        <w:t>）公开主体：太仓市</w:t>
      </w:r>
      <w:r w:rsidR="00F27A9F">
        <w:rPr>
          <w:rFonts w:ascii="仿宋" w:eastAsia="仿宋" w:hAnsi="仿宋" w:cs="Times New Roman" w:hint="eastAsia"/>
          <w:kern w:val="2"/>
          <w:sz w:val="32"/>
          <w:szCs w:val="32"/>
        </w:rPr>
        <w:t>政法委</w:t>
      </w:r>
      <w:r>
        <w:rPr>
          <w:rFonts w:ascii="仿宋" w:eastAsia="仿宋" w:hAnsi="仿宋" w:cs="Times New Roman" w:hint="eastAsia"/>
          <w:kern w:val="2"/>
          <w:sz w:val="32"/>
          <w:szCs w:val="32"/>
        </w:rPr>
        <w:t>。</w:t>
      </w:r>
    </w:p>
    <w:p w:rsidR="00000000" w:rsidRDefault="004F7623">
      <w:pPr>
        <w:pStyle w:val="a6"/>
        <w:shd w:val="clear" w:color="auto" w:fill="FFFFFF"/>
        <w:spacing w:before="0" w:beforeAutospacing="0" w:after="0" w:afterAutospacing="0" w:line="560" w:lineRule="exact"/>
        <w:ind w:firstLineChars="200" w:firstLine="640"/>
        <w:jc w:val="both"/>
        <w:rPr>
          <w:rFonts w:ascii="仿宋" w:eastAsia="仿宋" w:hAnsi="仿宋" w:cs="Times New Roman" w:hint="eastAsia"/>
          <w:kern w:val="2"/>
          <w:sz w:val="32"/>
          <w:szCs w:val="32"/>
        </w:rPr>
      </w:pPr>
      <w:r>
        <w:rPr>
          <w:rFonts w:ascii="仿宋" w:eastAsia="仿宋" w:hAnsi="仿宋" w:cs="Times New Roman" w:hint="eastAsia"/>
          <w:kern w:val="2"/>
          <w:sz w:val="32"/>
          <w:szCs w:val="32"/>
        </w:rPr>
        <w:t>（</w:t>
      </w:r>
      <w:r>
        <w:rPr>
          <w:rFonts w:ascii="仿宋" w:eastAsia="仿宋" w:hAnsi="仿宋" w:cs="Times New Roman" w:hint="eastAsia"/>
          <w:kern w:val="2"/>
          <w:sz w:val="32"/>
          <w:szCs w:val="32"/>
        </w:rPr>
        <w:t>2</w:t>
      </w:r>
      <w:r>
        <w:rPr>
          <w:rFonts w:ascii="仿宋" w:eastAsia="仿宋" w:hAnsi="仿宋" w:cs="Times New Roman" w:hint="eastAsia"/>
          <w:kern w:val="2"/>
          <w:sz w:val="32"/>
          <w:szCs w:val="32"/>
        </w:rPr>
        <w:t>）公开时间：在公开部门预决算时通过填报本部门预决算说明进行公开。</w:t>
      </w:r>
    </w:p>
    <w:p w:rsidR="00000000" w:rsidRDefault="004F7623">
      <w:pPr>
        <w:pStyle w:val="a6"/>
        <w:shd w:val="clear" w:color="auto" w:fill="FFFFFF"/>
        <w:spacing w:before="0" w:beforeAutospacing="0" w:after="0" w:afterAutospacing="0" w:line="560" w:lineRule="exact"/>
        <w:ind w:firstLineChars="200" w:firstLine="640"/>
        <w:jc w:val="both"/>
        <w:rPr>
          <w:rFonts w:ascii="仿宋" w:eastAsia="仿宋" w:hAnsi="仿宋" w:cs="Times New Roman" w:hint="eastAsia"/>
          <w:kern w:val="2"/>
          <w:sz w:val="32"/>
          <w:szCs w:val="32"/>
        </w:rPr>
      </w:pPr>
      <w:r>
        <w:rPr>
          <w:rFonts w:ascii="仿宋" w:eastAsia="仿宋" w:hAnsi="仿宋" w:cs="Times New Roman" w:hint="eastAsia"/>
          <w:kern w:val="2"/>
          <w:sz w:val="32"/>
          <w:szCs w:val="32"/>
        </w:rPr>
        <w:t>（</w:t>
      </w:r>
      <w:r>
        <w:rPr>
          <w:rFonts w:ascii="仿宋" w:eastAsia="仿宋" w:hAnsi="仿宋" w:cs="Times New Roman" w:hint="eastAsia"/>
          <w:kern w:val="2"/>
          <w:sz w:val="32"/>
          <w:szCs w:val="32"/>
        </w:rPr>
        <w:t>3</w:t>
      </w:r>
      <w:r>
        <w:rPr>
          <w:rFonts w:ascii="仿宋" w:eastAsia="仿宋" w:hAnsi="仿宋" w:cs="Times New Roman" w:hint="eastAsia"/>
          <w:kern w:val="2"/>
          <w:sz w:val="32"/>
          <w:szCs w:val="32"/>
        </w:rPr>
        <w:t>）公开方式：江苏省预决算公开统一平台——部门资产信息公开专栏及部门预决算公开说明中公开。</w:t>
      </w:r>
    </w:p>
    <w:p w:rsidR="00000000" w:rsidRDefault="004F7623">
      <w:pPr>
        <w:pStyle w:val="a6"/>
        <w:shd w:val="clear" w:color="auto" w:fill="FFFFFF"/>
        <w:spacing w:before="0" w:beforeAutospacing="0" w:after="0" w:afterAutospacing="0" w:line="56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w:t>
      </w:r>
      <w:r>
        <w:rPr>
          <w:rFonts w:ascii="仿宋" w:eastAsia="仿宋" w:hAnsi="仿宋" w:cs="Times New Roman" w:hint="eastAsia"/>
          <w:kern w:val="2"/>
          <w:sz w:val="32"/>
          <w:szCs w:val="32"/>
        </w:rPr>
        <w:t>4</w:t>
      </w:r>
      <w:r>
        <w:rPr>
          <w:rFonts w:ascii="仿宋" w:eastAsia="仿宋" w:hAnsi="仿宋" w:cs="Times New Roman" w:hint="eastAsia"/>
          <w:kern w:val="2"/>
          <w:sz w:val="32"/>
          <w:szCs w:val="32"/>
        </w:rPr>
        <w:t>）公开内容：</w:t>
      </w:r>
      <w:r>
        <w:rPr>
          <w:rFonts w:ascii="仿宋" w:eastAsia="仿宋" w:hAnsi="仿宋" w:cs="Times New Roman"/>
          <w:kern w:val="2"/>
          <w:sz w:val="32"/>
          <w:szCs w:val="32"/>
        </w:rPr>
        <w:t>对其占有国有资产的有关情况进行公开。</w:t>
      </w:r>
    </w:p>
    <w:p w:rsidR="00000000" w:rsidRDefault="004F7623">
      <w:pPr>
        <w:pStyle w:val="a6"/>
        <w:shd w:val="clear" w:color="auto" w:fill="FFFFFF"/>
        <w:spacing w:before="0" w:beforeAutospacing="0" w:after="0" w:afterAutospacing="0" w:line="560" w:lineRule="exact"/>
        <w:ind w:firstLineChars="200" w:firstLine="643"/>
        <w:jc w:val="both"/>
        <w:rPr>
          <w:rFonts w:ascii="仿宋" w:eastAsia="仿宋" w:hAnsi="仿宋" w:cs="Times New Roman" w:hint="eastAsia"/>
          <w:b/>
          <w:kern w:val="2"/>
          <w:sz w:val="32"/>
          <w:szCs w:val="32"/>
        </w:rPr>
      </w:pPr>
      <w:r>
        <w:rPr>
          <w:rFonts w:ascii="仿宋" w:eastAsia="仿宋" w:hAnsi="仿宋" w:cs="Times New Roman"/>
          <w:b/>
          <w:kern w:val="2"/>
          <w:sz w:val="32"/>
          <w:szCs w:val="32"/>
        </w:rPr>
        <w:t>（</w:t>
      </w:r>
      <w:r>
        <w:rPr>
          <w:rFonts w:ascii="仿宋" w:eastAsia="仿宋" w:hAnsi="仿宋" w:cs="Times New Roman" w:hint="eastAsia"/>
          <w:b/>
          <w:kern w:val="2"/>
          <w:sz w:val="32"/>
          <w:szCs w:val="32"/>
        </w:rPr>
        <w:t>七</w:t>
      </w:r>
      <w:r>
        <w:rPr>
          <w:rFonts w:ascii="仿宋" w:eastAsia="仿宋" w:hAnsi="仿宋" w:cs="Times New Roman"/>
          <w:b/>
          <w:kern w:val="2"/>
          <w:sz w:val="32"/>
          <w:szCs w:val="32"/>
        </w:rPr>
        <w:t>）部门预决算公开管理文件</w:t>
      </w:r>
      <w:r>
        <w:rPr>
          <w:rFonts w:ascii="仿宋" w:eastAsia="仿宋" w:hAnsi="仿宋" w:cs="Times New Roman" w:hint="eastAsia"/>
          <w:b/>
          <w:kern w:val="2"/>
          <w:sz w:val="32"/>
          <w:szCs w:val="32"/>
        </w:rPr>
        <w:t>公开</w:t>
      </w:r>
    </w:p>
    <w:p w:rsidR="00000000" w:rsidRDefault="004F7623">
      <w:pPr>
        <w:pStyle w:val="a6"/>
        <w:shd w:val="clear" w:color="auto" w:fill="FFFFFF"/>
        <w:spacing w:before="0" w:beforeAutospacing="0" w:after="0" w:afterAutospacing="0" w:line="560" w:lineRule="exact"/>
        <w:ind w:firstLineChars="200" w:firstLine="640"/>
        <w:jc w:val="both"/>
        <w:rPr>
          <w:rFonts w:ascii="仿宋" w:eastAsia="仿宋" w:hAnsi="仿宋" w:cs="Times New Roman" w:hint="eastAsia"/>
          <w:kern w:val="2"/>
          <w:sz w:val="32"/>
          <w:szCs w:val="32"/>
        </w:rPr>
      </w:pPr>
      <w:r>
        <w:rPr>
          <w:rFonts w:ascii="仿宋" w:eastAsia="仿宋" w:hAnsi="仿宋" w:cs="Times New Roman" w:hint="eastAsia"/>
          <w:kern w:val="2"/>
          <w:sz w:val="32"/>
          <w:szCs w:val="32"/>
        </w:rPr>
        <w:t>1.</w:t>
      </w:r>
      <w:r>
        <w:rPr>
          <w:rFonts w:ascii="仿宋" w:eastAsia="仿宋" w:hAnsi="仿宋" w:cs="Times New Roman" w:hint="eastAsia"/>
          <w:kern w:val="2"/>
          <w:sz w:val="32"/>
          <w:szCs w:val="32"/>
        </w:rPr>
        <w:t>公开主体：太仓市</w:t>
      </w:r>
      <w:r w:rsidR="00F27A9F">
        <w:rPr>
          <w:rFonts w:ascii="仿宋" w:eastAsia="仿宋" w:hAnsi="仿宋" w:cs="Times New Roman" w:hint="eastAsia"/>
          <w:kern w:val="2"/>
          <w:sz w:val="32"/>
          <w:szCs w:val="32"/>
        </w:rPr>
        <w:t>政法委</w:t>
      </w:r>
      <w:r>
        <w:rPr>
          <w:rFonts w:ascii="仿宋" w:eastAsia="仿宋" w:hAnsi="仿宋" w:cs="Times New Roman" w:hint="eastAsia"/>
          <w:kern w:val="2"/>
          <w:sz w:val="32"/>
          <w:szCs w:val="32"/>
        </w:rPr>
        <w:t>。</w:t>
      </w:r>
    </w:p>
    <w:p w:rsidR="00000000" w:rsidRDefault="004F7623">
      <w:pPr>
        <w:pStyle w:val="a6"/>
        <w:shd w:val="clear" w:color="auto" w:fill="FFFFFF"/>
        <w:spacing w:before="0" w:beforeAutospacing="0" w:after="0" w:afterAutospacing="0" w:line="560" w:lineRule="exact"/>
        <w:ind w:firstLineChars="200" w:firstLine="640"/>
        <w:jc w:val="both"/>
        <w:rPr>
          <w:rFonts w:ascii="仿宋" w:eastAsia="仿宋" w:hAnsi="仿宋" w:cs="Times New Roman" w:hint="eastAsia"/>
          <w:kern w:val="2"/>
          <w:sz w:val="32"/>
          <w:szCs w:val="32"/>
        </w:rPr>
      </w:pPr>
      <w:r>
        <w:rPr>
          <w:rFonts w:ascii="仿宋" w:eastAsia="仿宋" w:hAnsi="仿宋" w:cs="Times New Roman" w:hint="eastAsia"/>
          <w:kern w:val="2"/>
          <w:sz w:val="32"/>
          <w:szCs w:val="32"/>
        </w:rPr>
        <w:t>2.</w:t>
      </w:r>
      <w:r>
        <w:rPr>
          <w:rFonts w:ascii="仿宋" w:eastAsia="仿宋" w:hAnsi="仿宋" w:cs="Times New Roman" w:hint="eastAsia"/>
          <w:kern w:val="2"/>
          <w:sz w:val="32"/>
          <w:szCs w:val="32"/>
        </w:rPr>
        <w:t>公开时间：文件印发后</w:t>
      </w:r>
      <w:r>
        <w:rPr>
          <w:rFonts w:ascii="仿宋" w:eastAsia="仿宋" w:hAnsi="仿宋" w:cs="Times New Roman" w:hint="eastAsia"/>
          <w:kern w:val="2"/>
          <w:sz w:val="32"/>
          <w:szCs w:val="32"/>
        </w:rPr>
        <w:t>20</w:t>
      </w:r>
      <w:r>
        <w:rPr>
          <w:rFonts w:ascii="仿宋" w:eastAsia="仿宋" w:hAnsi="仿宋" w:cs="Times New Roman" w:hint="eastAsia"/>
          <w:kern w:val="2"/>
          <w:sz w:val="32"/>
          <w:szCs w:val="32"/>
        </w:rPr>
        <w:t>个工作日内公开。</w:t>
      </w:r>
    </w:p>
    <w:p w:rsidR="00000000" w:rsidRDefault="004F7623">
      <w:pPr>
        <w:pStyle w:val="a6"/>
        <w:shd w:val="clear" w:color="auto" w:fill="FFFFFF"/>
        <w:spacing w:before="0" w:beforeAutospacing="0" w:after="0" w:afterAutospacing="0" w:line="560" w:lineRule="exact"/>
        <w:ind w:firstLineChars="200" w:firstLine="640"/>
        <w:jc w:val="both"/>
        <w:rPr>
          <w:rFonts w:ascii="仿宋" w:eastAsia="仿宋" w:hAnsi="仿宋" w:cs="Times New Roman" w:hint="eastAsia"/>
          <w:kern w:val="2"/>
          <w:sz w:val="32"/>
          <w:szCs w:val="32"/>
        </w:rPr>
      </w:pPr>
      <w:r>
        <w:rPr>
          <w:rFonts w:ascii="仿宋" w:eastAsia="仿宋" w:hAnsi="仿宋" w:cs="Times New Roman" w:hint="eastAsia"/>
          <w:kern w:val="2"/>
          <w:sz w:val="32"/>
          <w:szCs w:val="32"/>
        </w:rPr>
        <w:lastRenderedPageBreak/>
        <w:t>3.</w:t>
      </w:r>
      <w:r>
        <w:rPr>
          <w:rFonts w:ascii="仿宋" w:eastAsia="仿宋" w:hAnsi="仿宋" w:cs="Times New Roman" w:hint="eastAsia"/>
          <w:kern w:val="2"/>
          <w:sz w:val="32"/>
          <w:szCs w:val="32"/>
        </w:rPr>
        <w:t>公开方式：江苏省预决算公开统一平台——</w:t>
      </w:r>
      <w:r>
        <w:rPr>
          <w:rFonts w:ascii="仿宋" w:eastAsia="仿宋" w:hAnsi="仿宋" w:cs="Times New Roman" w:hint="eastAsia"/>
          <w:kern w:val="2"/>
          <w:sz w:val="32"/>
          <w:szCs w:val="32"/>
        </w:rPr>
        <w:t>部门预决算公开管理文件专栏公开。</w:t>
      </w:r>
    </w:p>
    <w:p w:rsidR="00000000" w:rsidRDefault="004F7623">
      <w:pPr>
        <w:pStyle w:val="a6"/>
        <w:shd w:val="clear" w:color="auto" w:fill="FFFFFF"/>
        <w:spacing w:before="0" w:beforeAutospacing="0" w:after="0" w:afterAutospacing="0" w:line="560" w:lineRule="exact"/>
        <w:ind w:firstLineChars="200" w:firstLine="640"/>
        <w:jc w:val="both"/>
        <w:rPr>
          <w:rFonts w:ascii="仿宋" w:eastAsia="仿宋" w:hAnsi="仿宋" w:cs="Times New Roman" w:hint="eastAsia"/>
          <w:kern w:val="2"/>
          <w:sz w:val="32"/>
          <w:szCs w:val="32"/>
        </w:rPr>
      </w:pPr>
      <w:r>
        <w:rPr>
          <w:rFonts w:ascii="仿宋" w:eastAsia="仿宋" w:hAnsi="仿宋" w:cs="Times New Roman" w:hint="eastAsia"/>
          <w:kern w:val="2"/>
          <w:sz w:val="32"/>
          <w:szCs w:val="32"/>
        </w:rPr>
        <w:t>4.</w:t>
      </w:r>
      <w:r>
        <w:rPr>
          <w:rFonts w:ascii="仿宋" w:eastAsia="仿宋" w:hAnsi="仿宋" w:cs="Times New Roman" w:hint="eastAsia"/>
          <w:kern w:val="2"/>
          <w:sz w:val="32"/>
          <w:szCs w:val="32"/>
        </w:rPr>
        <w:t>公开内容：本部门制定的预决算信息公开管理制度。</w:t>
      </w:r>
    </w:p>
    <w:p w:rsidR="00000000" w:rsidRDefault="004F7623">
      <w:pPr>
        <w:pStyle w:val="a6"/>
        <w:shd w:val="clear" w:color="auto" w:fill="FFFFFF"/>
        <w:spacing w:before="0" w:beforeAutospacing="0" w:after="0" w:afterAutospacing="0" w:line="560" w:lineRule="exact"/>
        <w:ind w:firstLineChars="200" w:firstLine="640"/>
        <w:jc w:val="both"/>
        <w:rPr>
          <w:rFonts w:ascii="仿宋" w:eastAsia="仿宋" w:hAnsi="仿宋" w:cs="Times New Roman" w:hint="eastAsia"/>
          <w:kern w:val="2"/>
          <w:sz w:val="32"/>
          <w:szCs w:val="32"/>
        </w:rPr>
      </w:pPr>
    </w:p>
    <w:p w:rsidR="00000000" w:rsidRDefault="004F7623">
      <w:pPr>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太仓市</w:t>
      </w:r>
      <w:r w:rsidR="00F27A9F">
        <w:rPr>
          <w:rFonts w:ascii="仿宋" w:eastAsia="仿宋" w:hAnsi="仿宋" w:hint="eastAsia"/>
          <w:sz w:val="32"/>
          <w:szCs w:val="32"/>
        </w:rPr>
        <w:t>政法委</w:t>
      </w:r>
    </w:p>
    <w:p w:rsidR="004F7623" w:rsidRDefault="004F7623">
      <w:pPr>
        <w:jc w:val="center"/>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sz w:val="32"/>
          <w:szCs w:val="32"/>
        </w:rPr>
        <w:t>二</w:t>
      </w:r>
      <w:r>
        <w:rPr>
          <w:rFonts w:ascii="仿宋" w:eastAsia="仿宋" w:hAnsi="仿宋" w:hint="eastAsia"/>
          <w:sz w:val="32"/>
          <w:szCs w:val="32"/>
        </w:rPr>
        <w:t>O</w:t>
      </w:r>
      <w:r>
        <w:rPr>
          <w:rFonts w:ascii="仿宋" w:eastAsia="仿宋" w:hAnsi="仿宋" w:hint="eastAsia"/>
          <w:sz w:val="32"/>
          <w:szCs w:val="32"/>
        </w:rPr>
        <w:t>二</w:t>
      </w:r>
      <w:r>
        <w:rPr>
          <w:rFonts w:ascii="仿宋" w:eastAsia="仿宋" w:hAnsi="仿宋" w:hint="eastAsia"/>
          <w:sz w:val="32"/>
          <w:szCs w:val="32"/>
        </w:rPr>
        <w:t>二</w:t>
      </w:r>
      <w:r>
        <w:rPr>
          <w:rFonts w:ascii="仿宋" w:eastAsia="仿宋" w:hAnsi="仿宋" w:hint="eastAsia"/>
          <w:sz w:val="32"/>
          <w:szCs w:val="32"/>
        </w:rPr>
        <w:t>年</w:t>
      </w:r>
      <w:r>
        <w:rPr>
          <w:rFonts w:ascii="仿宋" w:eastAsia="仿宋" w:hAnsi="仿宋" w:hint="eastAsia"/>
          <w:sz w:val="32"/>
          <w:szCs w:val="32"/>
        </w:rPr>
        <w:t>二</w:t>
      </w:r>
      <w:r>
        <w:rPr>
          <w:rFonts w:ascii="仿宋" w:eastAsia="仿宋" w:hAnsi="仿宋" w:hint="eastAsia"/>
          <w:sz w:val="32"/>
          <w:szCs w:val="32"/>
        </w:rPr>
        <w:t>月</w:t>
      </w:r>
      <w:r>
        <w:rPr>
          <w:rFonts w:ascii="仿宋" w:eastAsia="仿宋" w:hAnsi="仿宋" w:hint="eastAsia"/>
          <w:sz w:val="32"/>
          <w:szCs w:val="32"/>
        </w:rPr>
        <w:t>十四</w:t>
      </w:r>
      <w:r>
        <w:rPr>
          <w:rFonts w:ascii="仿宋" w:eastAsia="仿宋" w:hAnsi="仿宋" w:hint="eastAsia"/>
          <w:sz w:val="32"/>
          <w:szCs w:val="32"/>
        </w:rPr>
        <w:t>日</w:t>
      </w:r>
    </w:p>
    <w:sectPr w:rsidR="004F7623">
      <w:headerReference w:type="even" r:id="rId6"/>
      <w:headerReference w:type="default" r:id="rId7"/>
      <w:footerReference w:type="even" r:id="rId8"/>
      <w:footerReference w:type="default" r:id="rId9"/>
      <w:pgSz w:w="11906" w:h="16838"/>
      <w:pgMar w:top="1814" w:right="1588" w:bottom="1985" w:left="1588" w:header="720"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623" w:rsidRDefault="004F7623">
      <w:r>
        <w:separator/>
      </w:r>
    </w:p>
  </w:endnote>
  <w:endnote w:type="continuationSeparator" w:id="1">
    <w:p w:rsidR="004F7623" w:rsidRDefault="004F762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default"/>
    <w:sig w:usb0="00000001" w:usb1="080E0000" w:usb2="00000010" w:usb3="00000000" w:csb0="00040000" w:csb1="00000000"/>
  </w:font>
  <w:font w:name="方正仿宋_GBK">
    <w:altName w:val="Arial Unicode MS"/>
    <w:charset w:val="86"/>
    <w:family w:val="script"/>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7623">
    <w:pPr>
      <w:pStyle w:val="a4"/>
      <w:framePr w:wrap="around" w:vAnchor="text" w:hAnchor="margin" w:xAlign="outside" w:y="1"/>
      <w:ind w:firstLineChars="95" w:firstLine="266"/>
      <w:rPr>
        <w:rStyle w:val="a7"/>
        <w:sz w:val="28"/>
        <w:szCs w:val="28"/>
      </w:rPr>
    </w:pPr>
    <w:r>
      <w:rPr>
        <w:rStyle w:val="a7"/>
        <w:rFonts w:hint="eastAsia"/>
        <w:sz w:val="28"/>
        <w:szCs w:val="28"/>
      </w:rPr>
      <w:t>—</w:t>
    </w:r>
    <w:r>
      <w:rPr>
        <w:rStyle w:val="a7"/>
        <w:rFonts w:ascii="Times New Roman" w:hAnsi="Times New Roman"/>
        <w:sz w:val="28"/>
        <w:szCs w:val="28"/>
      </w:rPr>
      <w:t xml:space="preserve"> </w:t>
    </w:r>
    <w:r>
      <w:rPr>
        <w:rStyle w:val="a7"/>
        <w:rFonts w:ascii="Times New Roman" w:hAnsi="Times New Roman"/>
        <w:sz w:val="28"/>
        <w:szCs w:val="28"/>
      </w:rPr>
      <w:fldChar w:fldCharType="begin"/>
    </w:r>
    <w:r>
      <w:rPr>
        <w:rStyle w:val="a7"/>
        <w:rFonts w:ascii="Times New Roman" w:hAnsi="Times New Roman"/>
        <w:sz w:val="28"/>
        <w:szCs w:val="28"/>
      </w:rPr>
      <w:instrText xml:space="preserve">PAGE  </w:instrText>
    </w:r>
    <w:r>
      <w:rPr>
        <w:rStyle w:val="a7"/>
        <w:rFonts w:ascii="Times New Roman" w:hAnsi="Times New Roman"/>
        <w:sz w:val="28"/>
        <w:szCs w:val="28"/>
      </w:rPr>
      <w:fldChar w:fldCharType="separate"/>
    </w:r>
    <w:r>
      <w:rPr>
        <w:rStyle w:val="a7"/>
        <w:rFonts w:ascii="Times New Roman" w:hAnsi="Times New Roman"/>
        <w:sz w:val="28"/>
        <w:szCs w:val="28"/>
        <w:lang w:val="en-US" w:eastAsia="zh-CN"/>
      </w:rPr>
      <w:t>8</w:t>
    </w:r>
    <w:r>
      <w:rPr>
        <w:rStyle w:val="a7"/>
        <w:rFonts w:ascii="Times New Roman" w:hAnsi="Times New Roman"/>
        <w:sz w:val="28"/>
        <w:szCs w:val="28"/>
      </w:rPr>
      <w:fldChar w:fldCharType="end"/>
    </w:r>
    <w:r>
      <w:rPr>
        <w:rStyle w:val="a7"/>
        <w:rFonts w:ascii="Times New Roman" w:hAnsi="Times New Roman"/>
        <w:sz w:val="28"/>
        <w:szCs w:val="28"/>
      </w:rPr>
      <w:t xml:space="preserve"> </w:t>
    </w:r>
    <w:r>
      <w:rPr>
        <w:rStyle w:val="a7"/>
        <w:rFonts w:hint="eastAsia"/>
        <w:sz w:val="28"/>
        <w:szCs w:val="28"/>
      </w:rPr>
      <w:t>—</w:t>
    </w:r>
  </w:p>
  <w:p w:rsidR="00000000" w:rsidRDefault="004F762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7623">
    <w:pPr>
      <w:pStyle w:val="a4"/>
      <w:framePr w:wrap="around" w:vAnchor="text" w:hAnchor="margin" w:xAlign="outside" w:y="1"/>
      <w:ind w:rightChars="132" w:right="277"/>
      <w:rPr>
        <w:rStyle w:val="a7"/>
        <w:rFonts w:ascii="宋体" w:hAnsi="宋体"/>
        <w:sz w:val="28"/>
        <w:szCs w:val="28"/>
      </w:rPr>
    </w:pPr>
    <w:r>
      <w:rPr>
        <w:rStyle w:val="a7"/>
        <w:rFonts w:ascii="宋体" w:hAnsi="宋体" w:hint="eastAsia"/>
        <w:sz w:val="28"/>
        <w:szCs w:val="28"/>
      </w:rPr>
      <w:t>—</w:t>
    </w:r>
    <w:r>
      <w:rPr>
        <w:rStyle w:val="a7"/>
        <w:rFonts w:ascii="Times New Roman" w:hAnsi="Times New Roman"/>
        <w:sz w:val="28"/>
        <w:szCs w:val="28"/>
      </w:rPr>
      <w:t xml:space="preserve"> </w:t>
    </w:r>
    <w:r>
      <w:rPr>
        <w:rStyle w:val="a7"/>
        <w:rFonts w:ascii="Times New Roman" w:hAnsi="Times New Roman"/>
        <w:sz w:val="28"/>
        <w:szCs w:val="28"/>
      </w:rPr>
      <w:fldChar w:fldCharType="begin"/>
    </w:r>
    <w:r>
      <w:rPr>
        <w:rStyle w:val="a7"/>
        <w:rFonts w:ascii="Times New Roman" w:hAnsi="Times New Roman"/>
        <w:sz w:val="28"/>
        <w:szCs w:val="28"/>
      </w:rPr>
      <w:instrText xml:space="preserve">PAGE  </w:instrText>
    </w:r>
    <w:r>
      <w:rPr>
        <w:rStyle w:val="a7"/>
        <w:rFonts w:ascii="Times New Roman" w:hAnsi="Times New Roman"/>
        <w:sz w:val="28"/>
        <w:szCs w:val="28"/>
      </w:rPr>
      <w:fldChar w:fldCharType="separate"/>
    </w:r>
    <w:r w:rsidR="00F27A9F">
      <w:rPr>
        <w:rStyle w:val="a7"/>
        <w:rFonts w:ascii="Times New Roman" w:hAnsi="Times New Roman"/>
        <w:noProof/>
        <w:sz w:val="28"/>
        <w:szCs w:val="28"/>
      </w:rPr>
      <w:t>8</w:t>
    </w:r>
    <w:r>
      <w:rPr>
        <w:rStyle w:val="a7"/>
        <w:rFonts w:ascii="Times New Roman" w:hAnsi="Times New Roman"/>
        <w:sz w:val="28"/>
        <w:szCs w:val="28"/>
      </w:rPr>
      <w:fldChar w:fldCharType="end"/>
    </w:r>
    <w:r>
      <w:rPr>
        <w:rStyle w:val="a7"/>
        <w:rFonts w:ascii="Times New Roman" w:hAnsi="Times New Roman"/>
        <w:sz w:val="28"/>
        <w:szCs w:val="28"/>
      </w:rPr>
      <w:t xml:space="preserve"> </w:t>
    </w:r>
    <w:r>
      <w:rPr>
        <w:rStyle w:val="a7"/>
        <w:rFonts w:ascii="宋体" w:hAnsi="宋体" w:hint="eastAsia"/>
        <w:sz w:val="28"/>
        <w:szCs w:val="28"/>
      </w:rPr>
      <w:t>—</w:t>
    </w:r>
  </w:p>
  <w:p w:rsidR="00000000" w:rsidRDefault="004F762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623" w:rsidRDefault="004F7623">
      <w:r>
        <w:separator/>
      </w:r>
    </w:p>
  </w:footnote>
  <w:footnote w:type="continuationSeparator" w:id="1">
    <w:p w:rsidR="004F7623" w:rsidRDefault="004F76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7623">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7623">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1EB5"/>
    <w:rsid w:val="0001081E"/>
    <w:rsid w:val="000201F4"/>
    <w:rsid w:val="00031FBB"/>
    <w:rsid w:val="000435CF"/>
    <w:rsid w:val="00054809"/>
    <w:rsid w:val="000571A3"/>
    <w:rsid w:val="000612D4"/>
    <w:rsid w:val="00062604"/>
    <w:rsid w:val="00064341"/>
    <w:rsid w:val="00064A82"/>
    <w:rsid w:val="00072246"/>
    <w:rsid w:val="000746D3"/>
    <w:rsid w:val="00076628"/>
    <w:rsid w:val="00084932"/>
    <w:rsid w:val="00086875"/>
    <w:rsid w:val="0009027E"/>
    <w:rsid w:val="000A2ABB"/>
    <w:rsid w:val="000A383C"/>
    <w:rsid w:val="000B4662"/>
    <w:rsid w:val="000B54F1"/>
    <w:rsid w:val="000C44EE"/>
    <w:rsid w:val="000D0AD8"/>
    <w:rsid w:val="000F5A68"/>
    <w:rsid w:val="00116D19"/>
    <w:rsid w:val="00120AD7"/>
    <w:rsid w:val="00136175"/>
    <w:rsid w:val="00142276"/>
    <w:rsid w:val="00160351"/>
    <w:rsid w:val="001A3633"/>
    <w:rsid w:val="001A5907"/>
    <w:rsid w:val="001A6A23"/>
    <w:rsid w:val="001B1C4F"/>
    <w:rsid w:val="001C0DF9"/>
    <w:rsid w:val="001E2E11"/>
    <w:rsid w:val="00210BCA"/>
    <w:rsid w:val="00256C70"/>
    <w:rsid w:val="00256EF0"/>
    <w:rsid w:val="002825F1"/>
    <w:rsid w:val="002838FD"/>
    <w:rsid w:val="002A7D27"/>
    <w:rsid w:val="002D675A"/>
    <w:rsid w:val="002D6D6C"/>
    <w:rsid w:val="002D7428"/>
    <w:rsid w:val="002E53C8"/>
    <w:rsid w:val="00326E0C"/>
    <w:rsid w:val="00334A56"/>
    <w:rsid w:val="003446EF"/>
    <w:rsid w:val="00353F4F"/>
    <w:rsid w:val="003677D0"/>
    <w:rsid w:val="00387765"/>
    <w:rsid w:val="003C50FB"/>
    <w:rsid w:val="003D3088"/>
    <w:rsid w:val="003E3A27"/>
    <w:rsid w:val="003F1F28"/>
    <w:rsid w:val="003F6CFD"/>
    <w:rsid w:val="004018A7"/>
    <w:rsid w:val="00420629"/>
    <w:rsid w:val="00422871"/>
    <w:rsid w:val="004254BE"/>
    <w:rsid w:val="00433845"/>
    <w:rsid w:val="00444AC0"/>
    <w:rsid w:val="00470634"/>
    <w:rsid w:val="004734EA"/>
    <w:rsid w:val="004B2C81"/>
    <w:rsid w:val="004C583F"/>
    <w:rsid w:val="004D68BE"/>
    <w:rsid w:val="004F62A8"/>
    <w:rsid w:val="004F7623"/>
    <w:rsid w:val="00500AF1"/>
    <w:rsid w:val="005160C6"/>
    <w:rsid w:val="00544245"/>
    <w:rsid w:val="00567C12"/>
    <w:rsid w:val="00583246"/>
    <w:rsid w:val="005C6525"/>
    <w:rsid w:val="005D34DC"/>
    <w:rsid w:val="005E0B5B"/>
    <w:rsid w:val="005F59F7"/>
    <w:rsid w:val="006017A3"/>
    <w:rsid w:val="00611D3F"/>
    <w:rsid w:val="00637BA9"/>
    <w:rsid w:val="0067566C"/>
    <w:rsid w:val="00680373"/>
    <w:rsid w:val="006863CD"/>
    <w:rsid w:val="00686A1F"/>
    <w:rsid w:val="00696C3C"/>
    <w:rsid w:val="006A03A4"/>
    <w:rsid w:val="006A484C"/>
    <w:rsid w:val="006B5BC3"/>
    <w:rsid w:val="006C7584"/>
    <w:rsid w:val="006D0A9A"/>
    <w:rsid w:val="006D7736"/>
    <w:rsid w:val="006E0F10"/>
    <w:rsid w:val="006E1B19"/>
    <w:rsid w:val="006F08DC"/>
    <w:rsid w:val="00710F75"/>
    <w:rsid w:val="00712905"/>
    <w:rsid w:val="007321A7"/>
    <w:rsid w:val="00746846"/>
    <w:rsid w:val="007941EB"/>
    <w:rsid w:val="007A1808"/>
    <w:rsid w:val="007E69F1"/>
    <w:rsid w:val="007F4B8C"/>
    <w:rsid w:val="00821DCB"/>
    <w:rsid w:val="00823A3A"/>
    <w:rsid w:val="00823C52"/>
    <w:rsid w:val="00832E16"/>
    <w:rsid w:val="0083561E"/>
    <w:rsid w:val="008509EC"/>
    <w:rsid w:val="00877D69"/>
    <w:rsid w:val="00882DA9"/>
    <w:rsid w:val="00884A14"/>
    <w:rsid w:val="008A0149"/>
    <w:rsid w:val="008D2966"/>
    <w:rsid w:val="008E000D"/>
    <w:rsid w:val="008F7AA8"/>
    <w:rsid w:val="00901DC9"/>
    <w:rsid w:val="00930A6A"/>
    <w:rsid w:val="00942565"/>
    <w:rsid w:val="00942C9F"/>
    <w:rsid w:val="009431FE"/>
    <w:rsid w:val="0096051C"/>
    <w:rsid w:val="009633C9"/>
    <w:rsid w:val="00964FA7"/>
    <w:rsid w:val="00975A6A"/>
    <w:rsid w:val="00976286"/>
    <w:rsid w:val="00982FD9"/>
    <w:rsid w:val="00995AB6"/>
    <w:rsid w:val="00996C51"/>
    <w:rsid w:val="00997B45"/>
    <w:rsid w:val="009A06F5"/>
    <w:rsid w:val="009A2AEE"/>
    <w:rsid w:val="009B18B0"/>
    <w:rsid w:val="009B53AB"/>
    <w:rsid w:val="009D3E34"/>
    <w:rsid w:val="009F29C3"/>
    <w:rsid w:val="00A3176B"/>
    <w:rsid w:val="00A36343"/>
    <w:rsid w:val="00A46F80"/>
    <w:rsid w:val="00A47E6A"/>
    <w:rsid w:val="00A6182B"/>
    <w:rsid w:val="00A630E5"/>
    <w:rsid w:val="00A774FC"/>
    <w:rsid w:val="00AB2D70"/>
    <w:rsid w:val="00AB437A"/>
    <w:rsid w:val="00AB59E0"/>
    <w:rsid w:val="00AC0696"/>
    <w:rsid w:val="00AC7C30"/>
    <w:rsid w:val="00AF0BF1"/>
    <w:rsid w:val="00AF6AC9"/>
    <w:rsid w:val="00B25CE5"/>
    <w:rsid w:val="00B67239"/>
    <w:rsid w:val="00BA57AE"/>
    <w:rsid w:val="00BD2FF4"/>
    <w:rsid w:val="00BE68FA"/>
    <w:rsid w:val="00C01088"/>
    <w:rsid w:val="00C011B3"/>
    <w:rsid w:val="00C03B07"/>
    <w:rsid w:val="00C309E1"/>
    <w:rsid w:val="00C32B9C"/>
    <w:rsid w:val="00C95107"/>
    <w:rsid w:val="00CA1997"/>
    <w:rsid w:val="00CD1D9B"/>
    <w:rsid w:val="00CD7DB6"/>
    <w:rsid w:val="00CE1F18"/>
    <w:rsid w:val="00CF1EB5"/>
    <w:rsid w:val="00D10892"/>
    <w:rsid w:val="00D126D2"/>
    <w:rsid w:val="00D17519"/>
    <w:rsid w:val="00D27054"/>
    <w:rsid w:val="00D338BF"/>
    <w:rsid w:val="00D544FD"/>
    <w:rsid w:val="00D74AF7"/>
    <w:rsid w:val="00D75220"/>
    <w:rsid w:val="00D81FE2"/>
    <w:rsid w:val="00DA71CB"/>
    <w:rsid w:val="00DA7FB3"/>
    <w:rsid w:val="00DB1043"/>
    <w:rsid w:val="00DB60AF"/>
    <w:rsid w:val="00DD576B"/>
    <w:rsid w:val="00DF6818"/>
    <w:rsid w:val="00E16FD1"/>
    <w:rsid w:val="00E37E72"/>
    <w:rsid w:val="00E60477"/>
    <w:rsid w:val="00E65CBE"/>
    <w:rsid w:val="00E7738C"/>
    <w:rsid w:val="00E972BE"/>
    <w:rsid w:val="00EA2928"/>
    <w:rsid w:val="00EB1C00"/>
    <w:rsid w:val="00EE120F"/>
    <w:rsid w:val="00EE48ED"/>
    <w:rsid w:val="00EE766F"/>
    <w:rsid w:val="00EE784D"/>
    <w:rsid w:val="00EF72E4"/>
    <w:rsid w:val="00F12EDF"/>
    <w:rsid w:val="00F27A9F"/>
    <w:rsid w:val="00F4436A"/>
    <w:rsid w:val="00F455BD"/>
    <w:rsid w:val="00F52E86"/>
    <w:rsid w:val="00F53F99"/>
    <w:rsid w:val="00F55B00"/>
    <w:rsid w:val="00F71F21"/>
    <w:rsid w:val="00F7698E"/>
    <w:rsid w:val="00FA383E"/>
    <w:rsid w:val="00FA3AB8"/>
    <w:rsid w:val="00FB7D30"/>
    <w:rsid w:val="00FC55BF"/>
    <w:rsid w:val="00FD1E8A"/>
    <w:rsid w:val="00FE2D92"/>
    <w:rsid w:val="00FE4864"/>
    <w:rsid w:val="3A454DAC"/>
    <w:rsid w:val="3D324442"/>
    <w:rsid w:val="58452EDE"/>
    <w:rsid w:val="73C662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lsdException w:name="Balloon Text" w:semiHidden="0"/>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character" w:customStyle="1" w:styleId="Char">
    <w:name w:val="批注框文本 Char"/>
    <w:link w:val="a3"/>
    <w:uiPriority w:val="99"/>
    <w:semiHidden/>
    <w:rPr>
      <w:rFonts w:ascii="Calibri" w:eastAsia="宋体" w:hAnsi="Calibri"/>
      <w:kern w:val="2"/>
      <w:sz w:val="18"/>
      <w:szCs w:val="18"/>
    </w:rPr>
  </w:style>
  <w:style w:type="paragraph" w:styleId="a4">
    <w:name w:val="footer"/>
    <w:basedOn w:val="a"/>
    <w:link w:val="Char0"/>
    <w:unhideWhenUsed/>
    <w:pPr>
      <w:tabs>
        <w:tab w:val="center" w:pos="4153"/>
        <w:tab w:val="right" w:pos="8306"/>
      </w:tabs>
      <w:snapToGrid w:val="0"/>
      <w:jc w:val="left"/>
    </w:pPr>
    <w:rPr>
      <w:kern w:val="0"/>
      <w:sz w:val="18"/>
      <w:szCs w:val="18"/>
    </w:rPr>
  </w:style>
  <w:style w:type="character" w:customStyle="1" w:styleId="Char0">
    <w:name w:val="页脚 Char"/>
    <w:link w:val="a4"/>
    <w:rPr>
      <w:rFonts w:ascii="Calibri" w:eastAsia="宋体" w:hAnsi="Calibri" w:cs="Times New Roman"/>
      <w:kern w:val="0"/>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link w:val="a5"/>
    <w:rPr>
      <w:rFonts w:ascii="Calibri" w:eastAsia="宋体" w:hAnsi="Calibri" w:cs="Times New Roman"/>
      <w:sz w:val="18"/>
      <w:szCs w:val="18"/>
    </w:rPr>
  </w:style>
  <w:style w:type="paragraph" w:styleId="a6">
    <w:name w:val="Normal (Web)"/>
    <w:basedOn w:val="a"/>
    <w:pPr>
      <w:widowControl/>
      <w:spacing w:before="100" w:beforeAutospacing="1" w:after="100" w:afterAutospacing="1"/>
      <w:jc w:val="left"/>
    </w:pPr>
    <w:rPr>
      <w:rFonts w:ascii="宋体" w:hAnsi="宋体" w:cs="宋体"/>
      <w:kern w:val="0"/>
      <w:sz w:val="24"/>
      <w:szCs w:val="24"/>
    </w:rPr>
  </w:style>
  <w:style w:type="character" w:styleId="a7">
    <w:name w:val="page numbe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540</Words>
  <Characters>3084</Characters>
  <Application>Microsoft Office Word</Application>
  <DocSecurity>0</DocSecurity>
  <Lines>25</Lines>
  <Paragraphs>7</Paragraphs>
  <ScaleCrop>false</ScaleCrop>
  <Company>Microsoft</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于江华(拟稿)</dc:creator>
  <cp:lastModifiedBy>admin</cp:lastModifiedBy>
  <cp:revision>4</cp:revision>
  <cp:lastPrinted>2019-02-26T01:39:00Z</cp:lastPrinted>
  <dcterms:created xsi:type="dcterms:W3CDTF">2022-02-15T03:24:00Z</dcterms:created>
  <dcterms:modified xsi:type="dcterms:W3CDTF">2022-02-15T03:33:00Z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8E8D350D31B54A1694932B3EDEC706DA</vt:lpwstr>
  </property>
</Properties>
</file>